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557D69" w14:textId="77777777" w:rsidR="00051693" w:rsidRDefault="0097408E" w:rsidP="0097408E">
      <w:pPr>
        <w:jc w:val="center"/>
        <w:rPr>
          <w:b/>
        </w:rPr>
      </w:pPr>
      <w:r>
        <w:rPr>
          <w:b/>
        </w:rPr>
        <w:t>I</w:t>
      </w:r>
      <w:r w:rsidR="00051693">
        <w:rPr>
          <w:b/>
        </w:rPr>
        <w:t>NTERMOUNTAIN WEST DATA WAREHOUSE – WESTERN AIR QUALITY STUDY</w:t>
      </w:r>
    </w:p>
    <w:p w14:paraId="18B8C631" w14:textId="77777777" w:rsidR="0097408E" w:rsidRDefault="00E86762" w:rsidP="0097408E">
      <w:pPr>
        <w:jc w:val="center"/>
        <w:rPr>
          <w:b/>
        </w:rPr>
      </w:pPr>
      <w:r>
        <w:rPr>
          <w:b/>
        </w:rPr>
        <w:t>(IWDW-WAQS)</w:t>
      </w:r>
    </w:p>
    <w:p w14:paraId="0397FD40" w14:textId="77777777" w:rsidR="0097408E" w:rsidRPr="0097408E" w:rsidRDefault="0097408E" w:rsidP="0097408E">
      <w:pPr>
        <w:pStyle w:val="NoSpacing"/>
        <w:rPr>
          <w:rFonts w:ascii="Times New Roman" w:hAnsi="Times New Roman" w:cs="Times New Roman"/>
          <w:b/>
          <w:color w:val="000000"/>
          <w:sz w:val="24"/>
          <w:szCs w:val="24"/>
        </w:rPr>
      </w:pPr>
    </w:p>
    <w:p w14:paraId="78DB439B" w14:textId="00BF6B23" w:rsidR="00E13820" w:rsidRDefault="00F05201" w:rsidP="0097408E">
      <w:pPr>
        <w:pStyle w:val="NoSpacing"/>
        <w:jc w:val="center"/>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GENERIC </w:t>
      </w:r>
      <w:r w:rsidR="0075009F">
        <w:rPr>
          <w:rFonts w:ascii="Times New Roman" w:hAnsi="Times New Roman" w:cs="Times New Roman"/>
          <w:b/>
          <w:color w:val="000000"/>
          <w:sz w:val="24"/>
          <w:szCs w:val="24"/>
        </w:rPr>
        <w:t xml:space="preserve">DRAFT </w:t>
      </w:r>
      <w:r w:rsidR="00051693">
        <w:rPr>
          <w:rFonts w:ascii="Times New Roman" w:hAnsi="Times New Roman" w:cs="Times New Roman"/>
          <w:b/>
          <w:color w:val="000000"/>
          <w:sz w:val="24"/>
          <w:szCs w:val="24"/>
        </w:rPr>
        <w:t>WORK PLAN</w:t>
      </w:r>
      <w:r w:rsidR="0075009F">
        <w:rPr>
          <w:rFonts w:ascii="Times New Roman" w:hAnsi="Times New Roman" w:cs="Times New Roman"/>
          <w:b/>
          <w:color w:val="000000"/>
          <w:sz w:val="24"/>
          <w:szCs w:val="24"/>
        </w:rPr>
        <w:t xml:space="preserve"> FOR 202</w:t>
      </w:r>
      <w:r>
        <w:rPr>
          <w:rFonts w:ascii="Times New Roman" w:hAnsi="Times New Roman" w:cs="Times New Roman"/>
          <w:b/>
          <w:color w:val="000000"/>
          <w:sz w:val="24"/>
          <w:szCs w:val="24"/>
        </w:rPr>
        <w:t>2</w:t>
      </w:r>
      <w:r w:rsidR="0075009F">
        <w:rPr>
          <w:rFonts w:ascii="Times New Roman" w:hAnsi="Times New Roman" w:cs="Times New Roman"/>
          <w:b/>
          <w:color w:val="000000"/>
          <w:sz w:val="24"/>
          <w:szCs w:val="24"/>
        </w:rPr>
        <w:t>-202</w:t>
      </w:r>
      <w:r>
        <w:rPr>
          <w:rFonts w:ascii="Times New Roman" w:hAnsi="Times New Roman" w:cs="Times New Roman"/>
          <w:b/>
          <w:color w:val="000000"/>
          <w:sz w:val="24"/>
          <w:szCs w:val="24"/>
        </w:rPr>
        <w:t>4</w:t>
      </w:r>
      <w:r w:rsidR="0075009F">
        <w:rPr>
          <w:rFonts w:ascii="Times New Roman" w:hAnsi="Times New Roman" w:cs="Times New Roman"/>
          <w:b/>
          <w:color w:val="000000"/>
          <w:sz w:val="24"/>
          <w:szCs w:val="24"/>
        </w:rPr>
        <w:t xml:space="preserve"> </w:t>
      </w:r>
    </w:p>
    <w:p w14:paraId="6A3B038F" w14:textId="3AB2F766" w:rsidR="0075009F" w:rsidRDefault="0075009F" w:rsidP="0097408E">
      <w:pPr>
        <w:pStyle w:val="NoSpacing"/>
        <w:jc w:val="center"/>
        <w:rPr>
          <w:rFonts w:ascii="Times New Roman" w:hAnsi="Times New Roman" w:cs="Times New Roman"/>
          <w:b/>
          <w:color w:val="000000"/>
          <w:sz w:val="24"/>
          <w:szCs w:val="24"/>
        </w:rPr>
      </w:pPr>
      <w:r>
        <w:rPr>
          <w:rFonts w:ascii="Times New Roman" w:hAnsi="Times New Roman" w:cs="Times New Roman"/>
          <w:b/>
          <w:color w:val="000000"/>
          <w:sz w:val="24"/>
          <w:szCs w:val="24"/>
        </w:rPr>
        <w:t>[</w:t>
      </w:r>
      <w:r w:rsidR="00307196">
        <w:rPr>
          <w:rFonts w:ascii="Times New Roman" w:hAnsi="Times New Roman" w:cs="Times New Roman"/>
          <w:b/>
          <w:color w:val="000000"/>
          <w:sz w:val="24"/>
          <w:szCs w:val="24"/>
        </w:rPr>
        <w:t>SEPTEMBER 23</w:t>
      </w:r>
      <w:r w:rsidR="00F05201">
        <w:rPr>
          <w:rFonts w:ascii="Times New Roman" w:hAnsi="Times New Roman" w:cs="Times New Roman"/>
          <w:b/>
          <w:color w:val="000000"/>
          <w:sz w:val="24"/>
          <w:szCs w:val="24"/>
        </w:rPr>
        <w:t>, 2021</w:t>
      </w:r>
      <w:r>
        <w:rPr>
          <w:rFonts w:ascii="Times New Roman" w:hAnsi="Times New Roman" w:cs="Times New Roman"/>
          <w:b/>
          <w:color w:val="000000"/>
          <w:sz w:val="24"/>
          <w:szCs w:val="24"/>
        </w:rPr>
        <w:t>]</w:t>
      </w:r>
    </w:p>
    <w:p w14:paraId="1B362CE3" w14:textId="77777777" w:rsidR="0097408E" w:rsidRDefault="0097408E" w:rsidP="0097408E">
      <w:pPr>
        <w:pStyle w:val="NoSpacing"/>
        <w:jc w:val="center"/>
        <w:rPr>
          <w:rFonts w:ascii="Times New Roman" w:hAnsi="Times New Roman" w:cs="Times New Roman"/>
          <w:b/>
          <w:color w:val="000000"/>
          <w:sz w:val="24"/>
          <w:szCs w:val="24"/>
        </w:rPr>
      </w:pPr>
    </w:p>
    <w:p w14:paraId="0864B8F7" w14:textId="77777777" w:rsidR="0097408E" w:rsidRDefault="0097408E" w:rsidP="0097408E">
      <w:pPr>
        <w:pStyle w:val="NoSpacing"/>
        <w:rPr>
          <w:rFonts w:ascii="Times New Roman" w:hAnsi="Times New Roman" w:cs="Times New Roman"/>
          <w:b/>
          <w:color w:val="000000"/>
          <w:sz w:val="24"/>
          <w:szCs w:val="24"/>
        </w:rPr>
      </w:pPr>
    </w:p>
    <w:p w14:paraId="1B188D8F" w14:textId="77777777" w:rsidR="008A496F" w:rsidRDefault="008A496F" w:rsidP="008A496F">
      <w:pPr>
        <w:pStyle w:val="ListParagraph"/>
        <w:ind w:left="360"/>
      </w:pPr>
    </w:p>
    <w:p w14:paraId="17FB78C6" w14:textId="77777777" w:rsidR="00570836" w:rsidRPr="00ED5FE4" w:rsidRDefault="00417453" w:rsidP="00E84D07">
      <w:pPr>
        <w:pStyle w:val="ListParagraph"/>
        <w:numPr>
          <w:ilvl w:val="0"/>
          <w:numId w:val="1"/>
        </w:numPr>
      </w:pPr>
      <w:r w:rsidRPr="00ED5FE4">
        <w:t>Background</w:t>
      </w:r>
      <w:r w:rsidR="00570836" w:rsidRPr="00ED5FE4">
        <w:t xml:space="preserve"> of </w:t>
      </w:r>
      <w:r w:rsidR="00271A29">
        <w:t>IWDW-WAQS</w:t>
      </w:r>
    </w:p>
    <w:p w14:paraId="255504E5" w14:textId="77777777" w:rsidR="00417453" w:rsidRPr="00ED5FE4" w:rsidRDefault="00417453" w:rsidP="00417453">
      <w:pPr>
        <w:pStyle w:val="ListParagraph"/>
      </w:pPr>
    </w:p>
    <w:p w14:paraId="49A98B2D" w14:textId="77777777" w:rsidR="00417453" w:rsidRPr="00ED5FE4" w:rsidRDefault="00417453" w:rsidP="00417453">
      <w:pPr>
        <w:pStyle w:val="NoSpacing"/>
        <w:ind w:left="360"/>
        <w:rPr>
          <w:rFonts w:ascii="Times New Roman" w:hAnsi="Times New Roman" w:cs="Times New Roman"/>
          <w:sz w:val="24"/>
          <w:szCs w:val="24"/>
        </w:rPr>
      </w:pPr>
      <w:r w:rsidRPr="00ED5FE4">
        <w:rPr>
          <w:rFonts w:ascii="Times New Roman" w:hAnsi="Times New Roman" w:cs="Times New Roman"/>
          <w:sz w:val="24"/>
          <w:szCs w:val="24"/>
        </w:rPr>
        <w:t>The National Environmental Policy Act</w:t>
      </w:r>
      <w:r w:rsidRPr="00ED5FE4">
        <w:rPr>
          <w:rStyle w:val="apple-converted-space"/>
          <w:rFonts w:ascii="Times New Roman" w:hAnsi="Times New Roman" w:cs="Times New Roman"/>
          <w:sz w:val="24"/>
          <w:szCs w:val="24"/>
        </w:rPr>
        <w:t xml:space="preserve"> (</w:t>
      </w:r>
      <w:r w:rsidRPr="00ED5FE4">
        <w:rPr>
          <w:rFonts w:ascii="Times New Roman" w:hAnsi="Times New Roman" w:cs="Times New Roman"/>
          <w:sz w:val="24"/>
          <w:szCs w:val="24"/>
        </w:rPr>
        <w:t xml:space="preserve">NEPA) and </w:t>
      </w:r>
      <w:r w:rsidR="00656B14">
        <w:rPr>
          <w:rFonts w:ascii="Times New Roman" w:hAnsi="Times New Roman" w:cs="Times New Roman"/>
          <w:sz w:val="24"/>
          <w:szCs w:val="24"/>
        </w:rPr>
        <w:t>federal Clean Air Act (CAA) require</w:t>
      </w:r>
      <w:r w:rsidRPr="00ED5FE4">
        <w:rPr>
          <w:rFonts w:ascii="Times New Roman" w:hAnsi="Times New Roman" w:cs="Times New Roman"/>
          <w:sz w:val="24"/>
          <w:szCs w:val="24"/>
        </w:rPr>
        <w:t xml:space="preserve"> air quality planning </w:t>
      </w:r>
      <w:r w:rsidR="00656B14">
        <w:rPr>
          <w:rFonts w:ascii="Times New Roman" w:hAnsi="Times New Roman" w:cs="Times New Roman"/>
          <w:sz w:val="24"/>
          <w:szCs w:val="24"/>
        </w:rPr>
        <w:t xml:space="preserve">studies and </w:t>
      </w:r>
      <w:r w:rsidRPr="00ED5FE4">
        <w:rPr>
          <w:rFonts w:ascii="Times New Roman" w:hAnsi="Times New Roman" w:cs="Times New Roman"/>
          <w:sz w:val="24"/>
          <w:szCs w:val="24"/>
        </w:rPr>
        <w:t>project</w:t>
      </w:r>
      <w:r w:rsidR="006419F9">
        <w:rPr>
          <w:rFonts w:ascii="Times New Roman" w:hAnsi="Times New Roman" w:cs="Times New Roman"/>
          <w:sz w:val="24"/>
          <w:szCs w:val="24"/>
        </w:rPr>
        <w:t>s</w:t>
      </w:r>
      <w:r w:rsidRPr="00ED5FE4">
        <w:rPr>
          <w:rFonts w:ascii="Times New Roman" w:hAnsi="Times New Roman" w:cs="Times New Roman"/>
          <w:sz w:val="24"/>
          <w:szCs w:val="24"/>
        </w:rPr>
        <w:t xml:space="preserve"> </w:t>
      </w:r>
      <w:r w:rsidR="00656B14">
        <w:rPr>
          <w:rFonts w:ascii="Times New Roman" w:hAnsi="Times New Roman" w:cs="Times New Roman"/>
          <w:sz w:val="24"/>
          <w:szCs w:val="24"/>
        </w:rPr>
        <w:t>by</w:t>
      </w:r>
      <w:r w:rsidRPr="00ED5FE4">
        <w:rPr>
          <w:rFonts w:ascii="Times New Roman" w:hAnsi="Times New Roman" w:cs="Times New Roman"/>
          <w:sz w:val="24"/>
          <w:szCs w:val="24"/>
        </w:rPr>
        <w:t xml:space="preserve"> federal, state, and local agencies</w:t>
      </w:r>
      <w:r w:rsidR="00656B14">
        <w:rPr>
          <w:rFonts w:ascii="Times New Roman" w:hAnsi="Times New Roman" w:cs="Times New Roman"/>
          <w:sz w:val="24"/>
          <w:szCs w:val="24"/>
        </w:rPr>
        <w:t>. These</w:t>
      </w:r>
      <w:r w:rsidRPr="00ED5FE4">
        <w:rPr>
          <w:rFonts w:ascii="Times New Roman" w:hAnsi="Times New Roman" w:cs="Times New Roman"/>
          <w:sz w:val="24"/>
          <w:szCs w:val="24"/>
        </w:rPr>
        <w:t xml:space="preserve"> detailed air quality assessments </w:t>
      </w:r>
      <w:r w:rsidR="00656B14">
        <w:rPr>
          <w:rFonts w:ascii="Times New Roman" w:hAnsi="Times New Roman" w:cs="Times New Roman"/>
          <w:sz w:val="24"/>
          <w:szCs w:val="24"/>
        </w:rPr>
        <w:t>address</w:t>
      </w:r>
      <w:r w:rsidRPr="00ED5FE4">
        <w:rPr>
          <w:rFonts w:ascii="Times New Roman" w:hAnsi="Times New Roman" w:cs="Times New Roman"/>
          <w:sz w:val="24"/>
          <w:szCs w:val="24"/>
        </w:rPr>
        <w:t xml:space="preserve"> actions that may significantly affect the environment</w:t>
      </w:r>
      <w:r w:rsidR="00271A29">
        <w:rPr>
          <w:rFonts w:ascii="Times New Roman" w:hAnsi="Times New Roman" w:cs="Times New Roman"/>
          <w:sz w:val="24"/>
          <w:szCs w:val="24"/>
        </w:rPr>
        <w:t xml:space="preserve"> or</w:t>
      </w:r>
      <w:r w:rsidR="00656B14">
        <w:rPr>
          <w:rFonts w:ascii="Times New Roman" w:hAnsi="Times New Roman" w:cs="Times New Roman"/>
          <w:sz w:val="24"/>
          <w:szCs w:val="24"/>
        </w:rPr>
        <w:t xml:space="preserve"> are needed to adopt emissions controls to achieve health and welfare air quality standards and rules</w:t>
      </w:r>
      <w:r w:rsidRPr="00ED5FE4">
        <w:rPr>
          <w:rFonts w:ascii="Times New Roman" w:hAnsi="Times New Roman" w:cs="Times New Roman"/>
          <w:sz w:val="24"/>
          <w:szCs w:val="24"/>
        </w:rPr>
        <w:t>. The air quality assessments may include a qualitative analysis that describes the air quality issues or impacts using available monitoring data and studies. The air quality assessments may also include a quantitative analysis that involves the use of air quality models to assess</w:t>
      </w:r>
      <w:r w:rsidR="006419F9">
        <w:rPr>
          <w:rFonts w:ascii="Times New Roman" w:hAnsi="Times New Roman" w:cs="Times New Roman"/>
          <w:sz w:val="24"/>
          <w:szCs w:val="24"/>
        </w:rPr>
        <w:t xml:space="preserve"> potential</w:t>
      </w:r>
      <w:r w:rsidRPr="00ED5FE4">
        <w:rPr>
          <w:rFonts w:ascii="Times New Roman" w:hAnsi="Times New Roman" w:cs="Times New Roman"/>
          <w:sz w:val="24"/>
          <w:szCs w:val="24"/>
        </w:rPr>
        <w:t xml:space="preserve"> impacts to air quality and Air Quality-Related Values (AQRVs), such as visibility and atmospheric deposition. </w:t>
      </w:r>
    </w:p>
    <w:p w14:paraId="084D09DA" w14:textId="77777777" w:rsidR="00417453" w:rsidRPr="00ED5FE4" w:rsidRDefault="00417453" w:rsidP="00417453">
      <w:pPr>
        <w:pStyle w:val="NoSpacing"/>
        <w:ind w:left="360"/>
        <w:rPr>
          <w:rFonts w:ascii="Times New Roman" w:hAnsi="Times New Roman" w:cs="Times New Roman"/>
          <w:sz w:val="24"/>
          <w:szCs w:val="24"/>
        </w:rPr>
      </w:pPr>
    </w:p>
    <w:p w14:paraId="0E7FB522" w14:textId="77777777" w:rsidR="00F371A9" w:rsidRDefault="00417453" w:rsidP="00F371A9">
      <w:pPr>
        <w:pStyle w:val="NoSpacing"/>
        <w:ind w:left="360"/>
        <w:rPr>
          <w:rFonts w:ascii="Times New Roman" w:hAnsi="Times New Roman" w:cs="Times New Roman"/>
          <w:sz w:val="24"/>
          <w:szCs w:val="24"/>
        </w:rPr>
      </w:pPr>
      <w:r w:rsidRPr="00ED5FE4">
        <w:rPr>
          <w:rFonts w:ascii="Times New Roman" w:hAnsi="Times New Roman" w:cs="Times New Roman"/>
          <w:sz w:val="24"/>
          <w:szCs w:val="24"/>
        </w:rPr>
        <w:t xml:space="preserve">A plume dispersion model (e.g., AERMOD) and a photochemical grid model (PGM) (e.g., CAMx and CMAQ) are typically used to quantitatively </w:t>
      </w:r>
      <w:r w:rsidRPr="00E84E84">
        <w:rPr>
          <w:rFonts w:ascii="Times New Roman" w:hAnsi="Times New Roman" w:cs="Times New Roman"/>
          <w:sz w:val="24"/>
          <w:szCs w:val="24"/>
        </w:rPr>
        <w:t>assess</w:t>
      </w:r>
      <w:r w:rsidRPr="00ED5FE4">
        <w:rPr>
          <w:rFonts w:ascii="Times New Roman" w:hAnsi="Times New Roman" w:cs="Times New Roman"/>
          <w:sz w:val="24"/>
          <w:szCs w:val="24"/>
        </w:rPr>
        <w:t xml:space="preserve"> the</w:t>
      </w:r>
      <w:r w:rsidR="006419F9">
        <w:rPr>
          <w:rFonts w:ascii="Times New Roman" w:hAnsi="Times New Roman" w:cs="Times New Roman"/>
          <w:sz w:val="24"/>
          <w:szCs w:val="24"/>
        </w:rPr>
        <w:t xml:space="preserve"> potential</w:t>
      </w:r>
      <w:r w:rsidRPr="00ED5FE4">
        <w:rPr>
          <w:rFonts w:ascii="Times New Roman" w:hAnsi="Times New Roman" w:cs="Times New Roman"/>
          <w:sz w:val="24"/>
          <w:szCs w:val="24"/>
        </w:rPr>
        <w:t xml:space="preserve"> air quality impacts associated with </w:t>
      </w:r>
      <w:r w:rsidR="00A11969">
        <w:rPr>
          <w:rFonts w:ascii="Times New Roman" w:hAnsi="Times New Roman" w:cs="Times New Roman"/>
          <w:sz w:val="24"/>
          <w:szCs w:val="24"/>
        </w:rPr>
        <w:t>a proposed</w:t>
      </w:r>
      <w:r w:rsidR="00A11969" w:rsidRPr="00ED5FE4">
        <w:rPr>
          <w:rFonts w:ascii="Times New Roman" w:hAnsi="Times New Roman" w:cs="Times New Roman"/>
          <w:sz w:val="24"/>
          <w:szCs w:val="24"/>
        </w:rPr>
        <w:t xml:space="preserve"> </w:t>
      </w:r>
      <w:r w:rsidRPr="00ED5FE4">
        <w:rPr>
          <w:rFonts w:ascii="Times New Roman" w:hAnsi="Times New Roman" w:cs="Times New Roman"/>
          <w:sz w:val="24"/>
          <w:szCs w:val="24"/>
        </w:rPr>
        <w:t>development</w:t>
      </w:r>
      <w:r w:rsidR="00656B14">
        <w:rPr>
          <w:rFonts w:ascii="Times New Roman" w:hAnsi="Times New Roman" w:cs="Times New Roman"/>
          <w:sz w:val="24"/>
          <w:szCs w:val="24"/>
        </w:rPr>
        <w:t xml:space="preserve"> or air quality improvements resulting from mitigation strategies</w:t>
      </w:r>
      <w:r w:rsidRPr="00ED5FE4">
        <w:rPr>
          <w:rFonts w:ascii="Times New Roman" w:hAnsi="Times New Roman" w:cs="Times New Roman"/>
          <w:sz w:val="24"/>
          <w:szCs w:val="24"/>
        </w:rPr>
        <w:t xml:space="preserve">. These models require emissions and meteorological information to estimate the concentration and dispersion of pollutants that </w:t>
      </w:r>
      <w:r w:rsidR="006419F9">
        <w:rPr>
          <w:rFonts w:ascii="Times New Roman" w:hAnsi="Times New Roman" w:cs="Times New Roman"/>
          <w:sz w:val="24"/>
          <w:szCs w:val="24"/>
        </w:rPr>
        <w:t xml:space="preserve">are known to </w:t>
      </w:r>
      <w:r w:rsidRPr="00ED5FE4">
        <w:rPr>
          <w:rFonts w:ascii="Times New Roman" w:hAnsi="Times New Roman" w:cs="Times New Roman"/>
          <w:sz w:val="24"/>
          <w:szCs w:val="24"/>
        </w:rPr>
        <w:t>impact air quality. Considerable resources are needed to develop the model inputs and to conduct the air quality modeling analyses. As a result, m</w:t>
      </w:r>
      <w:r w:rsidRPr="00ED5FE4">
        <w:rPr>
          <w:rFonts w:ascii="Times New Roman" w:eastAsia="Times New Roman" w:hAnsi="Times New Roman" w:cs="Times New Roman"/>
          <w:color w:val="000000"/>
          <w:sz w:val="24"/>
          <w:szCs w:val="24"/>
          <w:shd w:val="clear" w:color="auto" w:fill="FFFFFF"/>
        </w:rPr>
        <w:t xml:space="preserve">ultiple federal and state agencies in the intermountain west identified </w:t>
      </w:r>
      <w:r w:rsidR="00401BD3">
        <w:rPr>
          <w:rFonts w:ascii="Times New Roman" w:eastAsia="Times New Roman" w:hAnsi="Times New Roman" w:cs="Times New Roman"/>
          <w:color w:val="000000"/>
          <w:sz w:val="24"/>
          <w:szCs w:val="24"/>
          <w:shd w:val="clear" w:color="auto" w:fill="FFFFFF"/>
        </w:rPr>
        <w:t>a</w:t>
      </w:r>
      <w:r w:rsidRPr="00ED5FE4">
        <w:rPr>
          <w:rFonts w:ascii="Times New Roman" w:eastAsia="Times New Roman" w:hAnsi="Times New Roman" w:cs="Times New Roman"/>
          <w:color w:val="000000"/>
          <w:sz w:val="24"/>
          <w:szCs w:val="24"/>
          <w:shd w:val="clear" w:color="auto" w:fill="FFFFFF"/>
        </w:rPr>
        <w:t xml:space="preserve"> need to more efficiently and expeditiously collect air quality data and conduct air quality modeling. To address th</w:t>
      </w:r>
      <w:r w:rsidR="000D5B2A">
        <w:rPr>
          <w:rFonts w:ascii="Times New Roman" w:eastAsia="Times New Roman" w:hAnsi="Times New Roman" w:cs="Times New Roman"/>
          <w:color w:val="000000"/>
          <w:sz w:val="24"/>
          <w:szCs w:val="24"/>
          <w:shd w:val="clear" w:color="auto" w:fill="FFFFFF"/>
        </w:rPr>
        <w:t xml:space="preserve">e </w:t>
      </w:r>
      <w:r w:rsidRPr="00ED5FE4">
        <w:rPr>
          <w:rFonts w:ascii="Times New Roman" w:eastAsia="Times New Roman" w:hAnsi="Times New Roman" w:cs="Times New Roman"/>
          <w:color w:val="000000"/>
          <w:sz w:val="24"/>
          <w:szCs w:val="24"/>
          <w:shd w:val="clear" w:color="auto" w:fill="FFFFFF"/>
        </w:rPr>
        <w:t xml:space="preserve">need, the agencies entered into a </w:t>
      </w:r>
      <w:r w:rsidR="00E96DA6">
        <w:rPr>
          <w:rFonts w:ascii="Times New Roman" w:eastAsia="Times New Roman" w:hAnsi="Times New Roman" w:cs="Times New Roman"/>
          <w:color w:val="000000"/>
          <w:sz w:val="24"/>
          <w:szCs w:val="24"/>
          <w:shd w:val="clear" w:color="auto" w:fill="FFFFFF"/>
        </w:rPr>
        <w:t>Memorandum of Understanding (</w:t>
      </w:r>
      <w:r w:rsidRPr="00ED5FE4">
        <w:rPr>
          <w:rFonts w:ascii="Times New Roman" w:eastAsia="Times New Roman" w:hAnsi="Times New Roman" w:cs="Times New Roman"/>
          <w:color w:val="000000"/>
          <w:sz w:val="24"/>
          <w:szCs w:val="24"/>
          <w:shd w:val="clear" w:color="auto" w:fill="FFFFFF"/>
        </w:rPr>
        <w:t>MOU</w:t>
      </w:r>
      <w:r w:rsidR="00E96DA6">
        <w:rPr>
          <w:rFonts w:ascii="Times New Roman" w:eastAsia="Times New Roman" w:hAnsi="Times New Roman" w:cs="Times New Roman"/>
          <w:color w:val="000000"/>
          <w:sz w:val="24"/>
          <w:szCs w:val="24"/>
          <w:shd w:val="clear" w:color="auto" w:fill="FFFFFF"/>
        </w:rPr>
        <w:t>)</w:t>
      </w:r>
      <w:r w:rsidRPr="00ED5FE4">
        <w:rPr>
          <w:rFonts w:ascii="Times New Roman" w:eastAsia="Times New Roman" w:hAnsi="Times New Roman" w:cs="Times New Roman"/>
          <w:color w:val="000000"/>
          <w:sz w:val="24"/>
          <w:szCs w:val="24"/>
          <w:shd w:val="clear" w:color="auto" w:fill="FFFFFF"/>
        </w:rPr>
        <w:t xml:space="preserve"> in 2011 to initiate a pilot project (Three State Air Quality Study (3SAQS))</w:t>
      </w:r>
      <w:r w:rsidR="00F338ED">
        <w:rPr>
          <w:rStyle w:val="FootnoteReference"/>
          <w:rFonts w:ascii="Times New Roman" w:eastAsia="Times New Roman" w:hAnsi="Times New Roman" w:cs="Times New Roman"/>
          <w:color w:val="000000"/>
          <w:sz w:val="24"/>
          <w:szCs w:val="24"/>
          <w:shd w:val="clear" w:color="auto" w:fill="FFFFFF"/>
        </w:rPr>
        <w:footnoteReference w:id="2"/>
      </w:r>
      <w:r w:rsidRPr="00ED5FE4">
        <w:rPr>
          <w:rFonts w:ascii="Times New Roman" w:eastAsia="Times New Roman" w:hAnsi="Times New Roman" w:cs="Times New Roman"/>
          <w:color w:val="000000"/>
          <w:sz w:val="24"/>
          <w:szCs w:val="24"/>
          <w:shd w:val="clear" w:color="auto" w:fill="FFFFFF"/>
        </w:rPr>
        <w:t xml:space="preserve"> that would add ambient air quality monitoring stations and develop an air quality modeling platform to assess the air quality in the intermountain west. The 3SAQS </w:t>
      </w:r>
      <w:r w:rsidR="00401BD3">
        <w:rPr>
          <w:rFonts w:ascii="Times New Roman" w:eastAsia="Times New Roman" w:hAnsi="Times New Roman" w:cs="Times New Roman"/>
          <w:color w:val="000000"/>
          <w:sz w:val="24"/>
          <w:szCs w:val="24"/>
          <w:shd w:val="clear" w:color="auto" w:fill="FFFFFF"/>
        </w:rPr>
        <w:t xml:space="preserve">also </w:t>
      </w:r>
      <w:r w:rsidRPr="00ED5FE4">
        <w:rPr>
          <w:rFonts w:ascii="Times New Roman" w:eastAsia="Times New Roman" w:hAnsi="Times New Roman" w:cs="Times New Roman"/>
          <w:color w:val="000000"/>
          <w:sz w:val="24"/>
          <w:szCs w:val="24"/>
          <w:shd w:val="clear" w:color="auto" w:fill="FFFFFF"/>
        </w:rPr>
        <w:t xml:space="preserve">developed the Intermountain West Data Warehouse (IWDW) to maintain the ambient monitoring data, emission inventories, meteorology, and air quality modeling inputs and outputs. </w:t>
      </w:r>
      <w:r w:rsidRPr="00ED5FE4">
        <w:rPr>
          <w:rFonts w:ascii="Times New Roman" w:hAnsi="Times New Roman" w:cs="Times New Roman"/>
          <w:sz w:val="24"/>
          <w:szCs w:val="24"/>
        </w:rPr>
        <w:lastRenderedPageBreak/>
        <w:t xml:space="preserve">After the 3SAQS culminated in 2014, the </w:t>
      </w:r>
      <w:r w:rsidR="009827CC">
        <w:rPr>
          <w:rFonts w:ascii="Times New Roman" w:hAnsi="Times New Roman" w:cs="Times New Roman"/>
          <w:sz w:val="24"/>
          <w:szCs w:val="24"/>
        </w:rPr>
        <w:t>Cooperating Agencies</w:t>
      </w:r>
      <w:r w:rsidR="009827CC" w:rsidRPr="00ED5FE4">
        <w:rPr>
          <w:rFonts w:ascii="Times New Roman" w:hAnsi="Times New Roman" w:cs="Times New Roman"/>
          <w:sz w:val="24"/>
          <w:szCs w:val="24"/>
        </w:rPr>
        <w:t xml:space="preserve"> </w:t>
      </w:r>
      <w:r w:rsidRPr="00ED5FE4">
        <w:rPr>
          <w:rFonts w:ascii="Times New Roman" w:hAnsi="Times New Roman" w:cs="Times New Roman"/>
          <w:sz w:val="24"/>
          <w:szCs w:val="24"/>
        </w:rPr>
        <w:t>of the study decided to continue the efforts and refer to the study as the Western Air Quality Study (WAQS).</w:t>
      </w:r>
      <w:r w:rsidR="00E96DA6">
        <w:rPr>
          <w:rStyle w:val="FootnoteReference"/>
          <w:rFonts w:ascii="Times New Roman" w:hAnsi="Times New Roman" w:cs="Times New Roman"/>
          <w:sz w:val="24"/>
          <w:szCs w:val="24"/>
        </w:rPr>
        <w:footnoteReference w:id="3"/>
      </w:r>
      <w:r w:rsidR="003E5A6A">
        <w:rPr>
          <w:rFonts w:ascii="Times New Roman" w:hAnsi="Times New Roman" w:cs="Times New Roman"/>
          <w:sz w:val="24"/>
          <w:szCs w:val="24"/>
          <w:vertAlign w:val="superscript"/>
        </w:rPr>
        <w:t>,</w:t>
      </w:r>
      <w:r w:rsidR="003E5A6A">
        <w:rPr>
          <w:rStyle w:val="FootnoteReference"/>
          <w:rFonts w:ascii="Times New Roman" w:hAnsi="Times New Roman" w:cs="Times New Roman"/>
          <w:sz w:val="24"/>
          <w:szCs w:val="24"/>
        </w:rPr>
        <w:footnoteReference w:id="4"/>
      </w:r>
    </w:p>
    <w:p w14:paraId="54549106" w14:textId="77777777" w:rsidR="00F371A9" w:rsidRDefault="00F371A9" w:rsidP="00F371A9">
      <w:pPr>
        <w:pStyle w:val="NoSpacing"/>
        <w:ind w:left="360"/>
        <w:rPr>
          <w:rFonts w:ascii="Times New Roman" w:hAnsi="Times New Roman" w:cs="Times New Roman"/>
          <w:sz w:val="24"/>
          <w:szCs w:val="24"/>
        </w:rPr>
      </w:pPr>
    </w:p>
    <w:p w14:paraId="4B4C6B72" w14:textId="43BF3A12" w:rsidR="00ED5FE4" w:rsidRPr="00C46023" w:rsidRDefault="00965251" w:rsidP="00C97133">
      <w:pPr>
        <w:pStyle w:val="NoSpacing"/>
        <w:ind w:left="360"/>
        <w:rPr>
          <w:rFonts w:ascii="Times New Roman" w:hAnsi="Times New Roman" w:cs="Times New Roman"/>
          <w:sz w:val="24"/>
          <w:szCs w:val="24"/>
        </w:rPr>
      </w:pPr>
      <w:r>
        <w:rPr>
          <w:rFonts w:ascii="Times New Roman" w:hAnsi="Times New Roman" w:cs="Times New Roman"/>
          <w:sz w:val="24"/>
          <w:szCs w:val="24"/>
        </w:rPr>
        <w:t>In order of priority, t</w:t>
      </w:r>
      <w:r w:rsidR="00F371A9">
        <w:rPr>
          <w:rFonts w:ascii="Times New Roman" w:hAnsi="Times New Roman" w:cs="Times New Roman"/>
          <w:sz w:val="24"/>
          <w:szCs w:val="24"/>
        </w:rPr>
        <w:t>he on-</w:t>
      </w:r>
      <w:r w:rsidR="00F371A9" w:rsidRPr="00C46023">
        <w:rPr>
          <w:rFonts w:ascii="Times New Roman" w:hAnsi="Times New Roman" w:cs="Times New Roman"/>
          <w:sz w:val="24"/>
          <w:szCs w:val="24"/>
        </w:rPr>
        <w:t xml:space="preserve">going goals of the </w:t>
      </w:r>
      <w:r w:rsidR="00271A29" w:rsidRPr="00C46023">
        <w:rPr>
          <w:rFonts w:ascii="Times New Roman" w:hAnsi="Times New Roman" w:cs="Times New Roman"/>
          <w:sz w:val="24"/>
          <w:szCs w:val="24"/>
        </w:rPr>
        <w:t>IWDW-WAQS</w:t>
      </w:r>
      <w:r w:rsidR="00F371A9" w:rsidRPr="00C46023">
        <w:rPr>
          <w:rFonts w:ascii="Times New Roman" w:hAnsi="Times New Roman" w:cs="Times New Roman"/>
          <w:sz w:val="24"/>
          <w:szCs w:val="24"/>
        </w:rPr>
        <w:t xml:space="preserve"> </w:t>
      </w:r>
      <w:r w:rsidR="00BE3595">
        <w:rPr>
          <w:rFonts w:ascii="Times New Roman" w:hAnsi="Times New Roman" w:cs="Times New Roman"/>
          <w:sz w:val="24"/>
          <w:szCs w:val="24"/>
        </w:rPr>
        <w:t xml:space="preserve">Cooperators </w:t>
      </w:r>
      <w:r w:rsidR="00F371A9" w:rsidRPr="00C46023">
        <w:rPr>
          <w:rFonts w:ascii="Times New Roman" w:hAnsi="Times New Roman" w:cs="Times New Roman"/>
          <w:sz w:val="24"/>
          <w:szCs w:val="24"/>
        </w:rPr>
        <w:t>include:</w:t>
      </w:r>
    </w:p>
    <w:p w14:paraId="1DF7F8C0" w14:textId="2AB812B6" w:rsidR="00965251" w:rsidRDefault="00965251" w:rsidP="00965251">
      <w:pPr>
        <w:pStyle w:val="NoSpacing"/>
        <w:numPr>
          <w:ilvl w:val="0"/>
          <w:numId w:val="2"/>
        </w:numPr>
        <w:ind w:left="1080"/>
        <w:rPr>
          <w:rFonts w:ascii="Times New Roman" w:hAnsi="Times New Roman" w:cs="Times New Roman"/>
          <w:sz w:val="24"/>
          <w:szCs w:val="24"/>
        </w:rPr>
      </w:pPr>
      <w:r w:rsidRPr="00C46023">
        <w:rPr>
          <w:rFonts w:ascii="Times New Roman" w:hAnsi="Times New Roman" w:cs="Times New Roman"/>
          <w:sz w:val="24"/>
          <w:szCs w:val="24"/>
        </w:rPr>
        <w:t>Operating and maintaining an on-going data warehouse (i.e., the IWDW) with current, representative, and complete data and tools.</w:t>
      </w:r>
    </w:p>
    <w:p w14:paraId="0B0A9F79" w14:textId="7749C2FC" w:rsidR="00965251" w:rsidRPr="00C46023" w:rsidRDefault="00965251" w:rsidP="00965251">
      <w:pPr>
        <w:pStyle w:val="NoSpacing"/>
        <w:numPr>
          <w:ilvl w:val="0"/>
          <w:numId w:val="2"/>
        </w:numPr>
        <w:ind w:left="1080"/>
        <w:rPr>
          <w:rFonts w:ascii="Times New Roman" w:hAnsi="Times New Roman" w:cs="Times New Roman"/>
          <w:sz w:val="24"/>
          <w:szCs w:val="24"/>
        </w:rPr>
      </w:pPr>
      <w:r w:rsidRPr="00C46023">
        <w:rPr>
          <w:rFonts w:ascii="Times New Roman" w:hAnsi="Times New Roman" w:cs="Times New Roman"/>
          <w:sz w:val="24"/>
          <w:szCs w:val="24"/>
        </w:rPr>
        <w:t xml:space="preserve">Developing </w:t>
      </w:r>
      <w:r w:rsidR="008B1EAB">
        <w:rPr>
          <w:rFonts w:ascii="Times New Roman" w:hAnsi="Times New Roman" w:cs="Times New Roman"/>
          <w:sz w:val="24"/>
          <w:szCs w:val="24"/>
        </w:rPr>
        <w:t xml:space="preserve">the components for </w:t>
      </w:r>
      <w:r w:rsidRPr="00C46023">
        <w:rPr>
          <w:rFonts w:ascii="Times New Roman" w:hAnsi="Times New Roman" w:cs="Times New Roman"/>
          <w:sz w:val="24"/>
          <w:szCs w:val="24"/>
        </w:rPr>
        <w:t>and maintaining an air quality modeling platform</w:t>
      </w:r>
      <w:r w:rsidR="00BE3595">
        <w:rPr>
          <w:rFonts w:ascii="Times New Roman" w:hAnsi="Times New Roman" w:cs="Times New Roman"/>
          <w:sz w:val="24"/>
          <w:szCs w:val="24"/>
        </w:rPr>
        <w:t xml:space="preserve"> (i.e., the WAQS)</w:t>
      </w:r>
      <w:r w:rsidRPr="00C46023">
        <w:rPr>
          <w:rFonts w:ascii="Times New Roman" w:hAnsi="Times New Roman" w:cs="Times New Roman"/>
          <w:sz w:val="24"/>
          <w:szCs w:val="24"/>
        </w:rPr>
        <w:t xml:space="preserve"> every three years to coincide with the National Emissions Inventor</w:t>
      </w:r>
      <w:r>
        <w:rPr>
          <w:rFonts w:ascii="Times New Roman" w:hAnsi="Times New Roman" w:cs="Times New Roman"/>
          <w:sz w:val="24"/>
          <w:szCs w:val="24"/>
        </w:rPr>
        <w:t>y</w:t>
      </w:r>
      <w:r w:rsidRPr="00C46023">
        <w:rPr>
          <w:rFonts w:ascii="Times New Roman" w:hAnsi="Times New Roman" w:cs="Times New Roman"/>
          <w:sz w:val="24"/>
          <w:szCs w:val="24"/>
        </w:rPr>
        <w:t xml:space="preserve"> (NEI) </w:t>
      </w:r>
      <w:r>
        <w:rPr>
          <w:rFonts w:ascii="Times New Roman" w:hAnsi="Times New Roman" w:cs="Times New Roman"/>
          <w:sz w:val="24"/>
          <w:szCs w:val="24"/>
        </w:rPr>
        <w:t xml:space="preserve">cycle </w:t>
      </w:r>
      <w:r w:rsidRPr="00C46023">
        <w:rPr>
          <w:rFonts w:ascii="Times New Roman" w:hAnsi="Times New Roman" w:cs="Times New Roman"/>
          <w:sz w:val="24"/>
          <w:szCs w:val="24"/>
        </w:rPr>
        <w:t>and incorporate the most recent data, science, and tools for air quality assessments in the intermountain west.</w:t>
      </w:r>
    </w:p>
    <w:p w14:paraId="299837C0" w14:textId="77777777" w:rsidR="00965251" w:rsidRPr="00C46023" w:rsidRDefault="00965251" w:rsidP="00965251">
      <w:pPr>
        <w:pStyle w:val="NoSpacing"/>
        <w:numPr>
          <w:ilvl w:val="0"/>
          <w:numId w:val="2"/>
        </w:numPr>
        <w:ind w:left="1080"/>
        <w:rPr>
          <w:rFonts w:ascii="Times New Roman" w:hAnsi="Times New Roman" w:cs="Times New Roman"/>
          <w:sz w:val="24"/>
          <w:szCs w:val="24"/>
        </w:rPr>
      </w:pPr>
      <w:r w:rsidRPr="00C46023">
        <w:rPr>
          <w:rFonts w:ascii="Times New Roman" w:hAnsi="Times New Roman" w:cs="Times New Roman"/>
          <w:sz w:val="24"/>
          <w:szCs w:val="24"/>
        </w:rPr>
        <w:t>Working under analysis protocols and data criteria that are commonly agreed to by the Cooperating Agencies.</w:t>
      </w:r>
    </w:p>
    <w:p w14:paraId="7CD14E41" w14:textId="50E3CCD5" w:rsidR="00965251" w:rsidRDefault="00965251" w:rsidP="00965251">
      <w:pPr>
        <w:pStyle w:val="NoSpacing"/>
        <w:numPr>
          <w:ilvl w:val="0"/>
          <w:numId w:val="2"/>
        </w:numPr>
        <w:ind w:left="1080"/>
        <w:rPr>
          <w:rFonts w:ascii="Times New Roman" w:hAnsi="Times New Roman" w:cs="Times New Roman"/>
          <w:sz w:val="24"/>
          <w:szCs w:val="24"/>
        </w:rPr>
      </w:pPr>
      <w:r w:rsidRPr="00E84E84">
        <w:rPr>
          <w:rFonts w:ascii="Times New Roman" w:hAnsi="Times New Roman" w:cs="Times New Roman"/>
          <w:sz w:val="24"/>
          <w:szCs w:val="24"/>
        </w:rPr>
        <w:t>Effectively communicat</w:t>
      </w:r>
      <w:r>
        <w:rPr>
          <w:rFonts w:ascii="Times New Roman" w:hAnsi="Times New Roman" w:cs="Times New Roman"/>
          <w:sz w:val="24"/>
          <w:szCs w:val="24"/>
        </w:rPr>
        <w:t>ing</w:t>
      </w:r>
      <w:r w:rsidRPr="00E84E84">
        <w:rPr>
          <w:rFonts w:ascii="Times New Roman" w:hAnsi="Times New Roman" w:cs="Times New Roman"/>
          <w:sz w:val="24"/>
          <w:szCs w:val="24"/>
        </w:rPr>
        <w:t xml:space="preserve"> project status and activities internal</w:t>
      </w:r>
      <w:r>
        <w:rPr>
          <w:rFonts w:ascii="Times New Roman" w:hAnsi="Times New Roman" w:cs="Times New Roman"/>
          <w:sz w:val="24"/>
          <w:szCs w:val="24"/>
        </w:rPr>
        <w:t>ly</w:t>
      </w:r>
      <w:r w:rsidRPr="00E84E84">
        <w:rPr>
          <w:rFonts w:ascii="Times New Roman" w:hAnsi="Times New Roman" w:cs="Times New Roman"/>
          <w:sz w:val="24"/>
          <w:szCs w:val="24"/>
        </w:rPr>
        <w:t xml:space="preserve"> and external</w:t>
      </w:r>
      <w:r>
        <w:rPr>
          <w:rFonts w:ascii="Times New Roman" w:hAnsi="Times New Roman" w:cs="Times New Roman"/>
          <w:sz w:val="24"/>
          <w:szCs w:val="24"/>
        </w:rPr>
        <w:t>ly</w:t>
      </w:r>
      <w:r w:rsidRPr="00E84E84">
        <w:rPr>
          <w:rFonts w:ascii="Times New Roman" w:hAnsi="Times New Roman" w:cs="Times New Roman"/>
          <w:sz w:val="24"/>
          <w:szCs w:val="24"/>
        </w:rPr>
        <w:t xml:space="preserve"> to the </w:t>
      </w:r>
      <w:r>
        <w:rPr>
          <w:rFonts w:ascii="Times New Roman" w:hAnsi="Times New Roman" w:cs="Times New Roman"/>
          <w:sz w:val="24"/>
          <w:szCs w:val="24"/>
        </w:rPr>
        <w:t>Cooperating Agencies</w:t>
      </w:r>
      <w:r w:rsidRPr="00E84E84">
        <w:rPr>
          <w:rFonts w:ascii="Times New Roman" w:hAnsi="Times New Roman" w:cs="Times New Roman"/>
          <w:sz w:val="24"/>
          <w:szCs w:val="24"/>
        </w:rPr>
        <w:t>.</w:t>
      </w:r>
    </w:p>
    <w:p w14:paraId="614A882F" w14:textId="63CA3A3A" w:rsidR="00965251" w:rsidRPr="00965251" w:rsidRDefault="00965251" w:rsidP="00965251">
      <w:pPr>
        <w:pStyle w:val="NoSpacing"/>
        <w:numPr>
          <w:ilvl w:val="0"/>
          <w:numId w:val="2"/>
        </w:numPr>
        <w:ind w:left="1080"/>
        <w:rPr>
          <w:rFonts w:ascii="Times New Roman" w:hAnsi="Times New Roman" w:cs="Times New Roman"/>
          <w:sz w:val="24"/>
          <w:szCs w:val="24"/>
        </w:rPr>
      </w:pPr>
      <w:r w:rsidRPr="00965251">
        <w:rPr>
          <w:rFonts w:ascii="Times New Roman" w:hAnsi="Times New Roman" w:cs="Times New Roman"/>
          <w:sz w:val="24"/>
          <w:szCs w:val="24"/>
        </w:rPr>
        <w:t xml:space="preserve">Establishing and maintaining a future funding mechanism to ensure sustainability of monitoring sites, </w:t>
      </w:r>
      <w:r w:rsidR="00BE3595">
        <w:rPr>
          <w:rFonts w:ascii="Times New Roman" w:hAnsi="Times New Roman" w:cs="Times New Roman"/>
          <w:sz w:val="24"/>
          <w:szCs w:val="24"/>
        </w:rPr>
        <w:t>WAQS</w:t>
      </w:r>
      <w:r w:rsidRPr="00965251">
        <w:rPr>
          <w:rFonts w:ascii="Times New Roman" w:hAnsi="Times New Roman" w:cs="Times New Roman"/>
          <w:sz w:val="24"/>
          <w:szCs w:val="24"/>
        </w:rPr>
        <w:t xml:space="preserve"> modeling platform, and the IWDW.</w:t>
      </w:r>
    </w:p>
    <w:p w14:paraId="4DC2CD34" w14:textId="55F8D227" w:rsidR="00C46023" w:rsidRPr="00C46023" w:rsidRDefault="00C46023" w:rsidP="00C46023">
      <w:pPr>
        <w:pStyle w:val="NoSpacing"/>
        <w:numPr>
          <w:ilvl w:val="0"/>
          <w:numId w:val="2"/>
        </w:numPr>
        <w:ind w:left="1080"/>
        <w:rPr>
          <w:rFonts w:ascii="Times New Roman" w:hAnsi="Times New Roman" w:cs="Times New Roman"/>
          <w:sz w:val="24"/>
          <w:szCs w:val="24"/>
        </w:rPr>
      </w:pPr>
      <w:r w:rsidRPr="00C46023">
        <w:rPr>
          <w:rFonts w:ascii="Times New Roman" w:hAnsi="Times New Roman" w:cs="Times New Roman"/>
          <w:sz w:val="24"/>
          <w:szCs w:val="24"/>
        </w:rPr>
        <w:t>Maintaining the IWDW-WAQS air quality monitors and assessing the collective air quality monitoring network to ensure the coverage and monitoring parameters are well-understood and help meet the needs of the IWDW-WAQS. The collective review of the monitoring networks is also important for understanding air quality trends and to support Model Performance Evaluations (MPEs).</w:t>
      </w:r>
    </w:p>
    <w:p w14:paraId="44107A6E" w14:textId="77777777" w:rsidR="00714464" w:rsidRDefault="00714464" w:rsidP="00550E01">
      <w:pPr>
        <w:pStyle w:val="ListParagraph"/>
      </w:pPr>
    </w:p>
    <w:p w14:paraId="4735B2D0" w14:textId="77777777" w:rsidR="00E34ED3" w:rsidRDefault="00E34ED3" w:rsidP="00E84D07">
      <w:pPr>
        <w:pStyle w:val="ListParagraph"/>
        <w:numPr>
          <w:ilvl w:val="0"/>
          <w:numId w:val="1"/>
        </w:numPr>
      </w:pPr>
      <w:r>
        <w:t>Purpose of this Work Plan</w:t>
      </w:r>
    </w:p>
    <w:p w14:paraId="7219C222" w14:textId="77777777" w:rsidR="00E34ED3" w:rsidRDefault="00E34ED3" w:rsidP="00E34ED3">
      <w:pPr>
        <w:pStyle w:val="ListParagraph"/>
        <w:ind w:left="360"/>
      </w:pPr>
    </w:p>
    <w:p w14:paraId="613973C2" w14:textId="183D6F51" w:rsidR="00667484" w:rsidRDefault="00E34ED3" w:rsidP="00667484">
      <w:pPr>
        <w:pStyle w:val="ListParagraph"/>
        <w:ind w:left="360"/>
      </w:pPr>
      <w:r>
        <w:t xml:space="preserve">This work plan outlines the </w:t>
      </w:r>
      <w:r w:rsidR="00667484">
        <w:t>tasks</w:t>
      </w:r>
      <w:r>
        <w:t xml:space="preserve"> to be completed by the IWDW-WAQS for the ne</w:t>
      </w:r>
      <w:r w:rsidR="00CC0A36">
        <w:t>xt</w:t>
      </w:r>
      <w:r>
        <w:t xml:space="preserve"> air quality modeling platform</w:t>
      </w:r>
      <w:r w:rsidR="008B1EAB">
        <w:t xml:space="preserve"> in the 2022-24 timeframe</w:t>
      </w:r>
      <w:r>
        <w:t>. The work</w:t>
      </w:r>
      <w:r w:rsidR="008B1EAB">
        <w:t xml:space="preserve"> will begin in 2022</w:t>
      </w:r>
      <w:r w:rsidR="00D352EE">
        <w:t>,</w:t>
      </w:r>
      <w:r w:rsidR="008B1EAB">
        <w:t xml:space="preserve"> as funding is available, </w:t>
      </w:r>
      <w:r>
        <w:t xml:space="preserve">with work products being produced over </w:t>
      </w:r>
      <w:r w:rsidR="00D352EE">
        <w:t>a course of</w:t>
      </w:r>
      <w:r>
        <w:t xml:space="preserve"> t</w:t>
      </w:r>
      <w:r w:rsidR="00D352EE">
        <w:t>hree</w:t>
      </w:r>
      <w:r>
        <w:t xml:space="preserve"> years.</w:t>
      </w:r>
      <w:r w:rsidR="00667484">
        <w:t xml:space="preserve"> The components of this work plan include monitoring, emissions inventory and modeling, meteorological modeling, air quality modeling, and maintaining </w:t>
      </w:r>
      <w:r w:rsidR="00BE3595">
        <w:t xml:space="preserve">and operating </w:t>
      </w:r>
      <w:r w:rsidR="00667484">
        <w:t>the data warehouse</w:t>
      </w:r>
      <w:r w:rsidR="00CC0A36">
        <w:t>, which support the goals of the IWDW-WAQS</w:t>
      </w:r>
      <w:r w:rsidR="00667484">
        <w:t xml:space="preserve">. This work plan also describes the general objectives, oversight and management of work tasks, work tasks, deliverables, milestones and timeline, and an anticipated budget for the work activities. </w:t>
      </w:r>
      <w:r w:rsidR="00243109">
        <w:t>The work plan is approved by the Governing Board prior to its implementation.</w:t>
      </w:r>
    </w:p>
    <w:p w14:paraId="741AB868" w14:textId="77777777" w:rsidR="00667484" w:rsidRDefault="00667484" w:rsidP="00667484">
      <w:pPr>
        <w:pStyle w:val="ListParagraph"/>
        <w:ind w:left="360"/>
      </w:pPr>
    </w:p>
    <w:p w14:paraId="4021734E" w14:textId="578FCFEF" w:rsidR="00BD29AE" w:rsidRDefault="00BC5F68" w:rsidP="00667484">
      <w:pPr>
        <w:pStyle w:val="ListParagraph"/>
        <w:ind w:left="360"/>
      </w:pPr>
      <w:r>
        <w:lastRenderedPageBreak/>
        <w:t>T</w:t>
      </w:r>
      <w:r w:rsidR="00CC0A36">
        <w:t xml:space="preserve">his work plan is </w:t>
      </w:r>
      <w:r w:rsidR="00667484">
        <w:t xml:space="preserve">structured </w:t>
      </w:r>
      <w:r>
        <w:t xml:space="preserve">into two types of tasks given the uncertainty of future resources. The tasks discussed in the main body of the </w:t>
      </w:r>
      <w:r w:rsidR="00CC0A36">
        <w:t xml:space="preserve">work </w:t>
      </w:r>
      <w:r>
        <w:t xml:space="preserve">plan are </w:t>
      </w:r>
      <w:r w:rsidR="000411D1">
        <w:t xml:space="preserve">core </w:t>
      </w:r>
      <w:r>
        <w:t xml:space="preserve">tasks </w:t>
      </w:r>
      <w:r w:rsidR="00667484">
        <w:t>that are a priority to the Cooperators</w:t>
      </w:r>
      <w:r>
        <w:t xml:space="preserve"> </w:t>
      </w:r>
      <w:r w:rsidR="00667484">
        <w:t>based on upcoming or anticipated air quality planning projects.</w:t>
      </w:r>
      <w:r w:rsidR="00D53BC3">
        <w:t xml:space="preserve"> </w:t>
      </w:r>
      <w:r w:rsidR="00866BE3">
        <w:t>To cover the costs associated to these tasks, t</w:t>
      </w:r>
      <w:r w:rsidR="00D53BC3">
        <w:t xml:space="preserve">he Oversight Committee </w:t>
      </w:r>
      <w:r w:rsidR="009154F5">
        <w:t>will continue to</w:t>
      </w:r>
      <w:r w:rsidR="00D53BC3">
        <w:t xml:space="preserve"> </w:t>
      </w:r>
      <w:r w:rsidR="00327AB2">
        <w:t>explore and identif</w:t>
      </w:r>
      <w:r w:rsidR="009154F5">
        <w:t>y</w:t>
      </w:r>
      <w:r w:rsidR="00096048">
        <w:t xml:space="preserve"> </w:t>
      </w:r>
      <w:r w:rsidR="00866BE3">
        <w:t>o</w:t>
      </w:r>
      <w:r w:rsidR="00D53BC3">
        <w:t>pportunities to leverage resources from other groups.</w:t>
      </w:r>
      <w:r w:rsidR="00E87CCE">
        <w:t xml:space="preserve"> </w:t>
      </w:r>
      <w:r w:rsidR="00BE3595">
        <w:t xml:space="preserve">As was the case in the IWDW-WAQS 2017-2019 Work Plan, it is anticipated </w:t>
      </w:r>
      <w:r w:rsidR="008C6817">
        <w:t xml:space="preserve">that </w:t>
      </w:r>
      <w:r w:rsidR="00E87CCE">
        <w:t>many tasks will</w:t>
      </w:r>
      <w:r w:rsidR="00BD29AE">
        <w:t xml:space="preserve"> be </w:t>
      </w:r>
      <w:r w:rsidR="003B61B6">
        <w:t xml:space="preserve">coordinated and </w:t>
      </w:r>
      <w:r w:rsidR="00BD29AE">
        <w:t xml:space="preserve">leveraged with </w:t>
      </w:r>
      <w:r w:rsidR="009154F5">
        <w:t>Western States Air Resources (WESTAR) Council - Western Regional Air Partnership (WRAP) organization (WESTAR-WRAP)</w:t>
      </w:r>
      <w:r w:rsidR="00E87CCE">
        <w:t>.</w:t>
      </w:r>
      <w:r w:rsidR="00BD29AE">
        <w:t xml:space="preserve"> </w:t>
      </w:r>
    </w:p>
    <w:p w14:paraId="5E51452F" w14:textId="77777777" w:rsidR="00866BE3" w:rsidRDefault="00866BE3" w:rsidP="00667484">
      <w:pPr>
        <w:pStyle w:val="ListParagraph"/>
        <w:ind w:left="360"/>
      </w:pPr>
    </w:p>
    <w:p w14:paraId="6ED811B6" w14:textId="7C490C86" w:rsidR="00CC0A36" w:rsidRDefault="008079AD" w:rsidP="00667484">
      <w:pPr>
        <w:pStyle w:val="ListParagraph"/>
        <w:ind w:left="360"/>
      </w:pPr>
      <w:r>
        <w:t>This work plan also outlines tasks in the appendices. The</w:t>
      </w:r>
      <w:r w:rsidR="00866BE3">
        <w:t xml:space="preserve"> tasks included in the appendices are</w:t>
      </w:r>
      <w:r w:rsidR="001C7F00">
        <w:t xml:space="preserve"> also important to</w:t>
      </w:r>
      <w:r w:rsidR="00866BE3">
        <w:t xml:space="preserve"> the Cooperators. However, additional information </w:t>
      </w:r>
      <w:r w:rsidR="002B730C">
        <w:t>and resou</w:t>
      </w:r>
      <w:r>
        <w:t>r</w:t>
      </w:r>
      <w:r w:rsidR="002B730C">
        <w:t xml:space="preserve">ces </w:t>
      </w:r>
      <w:r w:rsidR="00866BE3">
        <w:t xml:space="preserve">will </w:t>
      </w:r>
      <w:r w:rsidR="00E371C2">
        <w:t xml:space="preserve">need to be collected to determine if </w:t>
      </w:r>
      <w:r w:rsidR="00796128">
        <w:t>the new tasks are</w:t>
      </w:r>
      <w:r w:rsidR="00E371C2">
        <w:t xml:space="preserve"> technically </w:t>
      </w:r>
      <w:r w:rsidR="00CC0A36">
        <w:t>and monetar</w:t>
      </w:r>
      <w:r w:rsidR="008B1EAB">
        <w:t>il</w:t>
      </w:r>
      <w:r w:rsidR="00CC0A36">
        <w:t xml:space="preserve">y </w:t>
      </w:r>
      <w:r w:rsidR="00E371C2">
        <w:t>feasibl</w:t>
      </w:r>
      <w:r w:rsidR="00CC0A36">
        <w:t>e</w:t>
      </w:r>
      <w:r w:rsidR="00E371C2">
        <w:t>. Therefore</w:t>
      </w:r>
      <w:r w:rsidR="00D53BC3">
        <w:t xml:space="preserve">, </w:t>
      </w:r>
      <w:r w:rsidR="00457D6A">
        <w:t xml:space="preserve">it will be imperative for the </w:t>
      </w:r>
      <w:r w:rsidR="00CC0A36">
        <w:t>Oversight Committee</w:t>
      </w:r>
      <w:r w:rsidR="00457D6A">
        <w:t xml:space="preserve"> to continue their discussions related to these tasks, and to </w:t>
      </w:r>
      <w:r w:rsidR="00D53BC3">
        <w:t xml:space="preserve">continue </w:t>
      </w:r>
      <w:r w:rsidR="00457D6A">
        <w:t>their effort</w:t>
      </w:r>
      <w:r w:rsidR="00CC0A36">
        <w:t>s</w:t>
      </w:r>
      <w:r w:rsidR="00457D6A">
        <w:t xml:space="preserve"> in finding</w:t>
      </w:r>
      <w:r w:rsidR="00D53BC3">
        <w:t xml:space="preserve"> funding</w:t>
      </w:r>
      <w:r w:rsidR="00457D6A">
        <w:t xml:space="preserve">. The </w:t>
      </w:r>
      <w:r w:rsidR="00CC0A36">
        <w:t>Oversight Committee</w:t>
      </w:r>
      <w:r w:rsidR="000F7EA8">
        <w:t>, in coordination with the Technical Committee,</w:t>
      </w:r>
      <w:r w:rsidR="00457D6A">
        <w:t xml:space="preserve"> will </w:t>
      </w:r>
      <w:r w:rsidR="00E371C2">
        <w:t xml:space="preserve">re-visit these tasks </w:t>
      </w:r>
      <w:r w:rsidR="002737F3">
        <w:t xml:space="preserve">throughout this work plan cycle. When sufficient information and resources are obtained to complete the work, a supplement to this work plan will be developed and </w:t>
      </w:r>
      <w:r w:rsidR="000077A1">
        <w:t>approv</w:t>
      </w:r>
      <w:r w:rsidR="002737F3">
        <w:t xml:space="preserve">ed by the </w:t>
      </w:r>
      <w:r w:rsidR="000365F8">
        <w:t>Governing Board</w:t>
      </w:r>
      <w:r w:rsidR="000077A1">
        <w:t xml:space="preserve"> </w:t>
      </w:r>
      <w:r w:rsidR="00E371C2">
        <w:t>prior to commencing the work.</w:t>
      </w:r>
    </w:p>
    <w:p w14:paraId="722C53B2" w14:textId="77777777" w:rsidR="00CC0A36" w:rsidRDefault="00CC0A36" w:rsidP="00667484">
      <w:pPr>
        <w:pStyle w:val="ListParagraph"/>
        <w:ind w:left="360"/>
      </w:pPr>
    </w:p>
    <w:p w14:paraId="2993D91D" w14:textId="3F486B15" w:rsidR="00667484" w:rsidRDefault="00CC0A36" w:rsidP="00667484">
      <w:pPr>
        <w:pStyle w:val="ListParagraph"/>
        <w:ind w:left="360"/>
      </w:pPr>
      <w:r>
        <w:t xml:space="preserve">It should be noted that the BLM has introduced new </w:t>
      </w:r>
      <w:r w:rsidR="00D37B47">
        <w:t xml:space="preserve">NEPA </w:t>
      </w:r>
      <w:r>
        <w:t xml:space="preserve">work products </w:t>
      </w:r>
      <w:r w:rsidR="00D37B47">
        <w:t xml:space="preserve">related to future-year projection scenarios </w:t>
      </w:r>
      <w:r>
        <w:t xml:space="preserve">that have the potential to benefit </w:t>
      </w:r>
      <w:r w:rsidR="00D37B47">
        <w:t>many Cooperators</w:t>
      </w:r>
      <w:r>
        <w:t xml:space="preserve"> by increasing efficiencies and reducing</w:t>
      </w:r>
      <w:r w:rsidR="00D37B47">
        <w:t xml:space="preserve"> costs. These new products proposed by the BLM are being discussed and explored by the Cooperators to determine the most technically</w:t>
      </w:r>
      <w:r w:rsidR="00DD5A29">
        <w:t xml:space="preserve"> </w:t>
      </w:r>
      <w:r w:rsidR="00D37B47">
        <w:t xml:space="preserve">feasible approach for completing the work within the IWDW-WAQS framework </w:t>
      </w:r>
      <w:r w:rsidR="00EC575F">
        <w:t>or within</w:t>
      </w:r>
      <w:r w:rsidR="00D37B47">
        <w:t xml:space="preserve"> this work plan.</w:t>
      </w:r>
      <w:r w:rsidR="00EC575F">
        <w:t xml:space="preserve"> Currently, these work products are discussed in Appendix A because the approach and associated </w:t>
      </w:r>
      <w:r w:rsidR="00FF57A6">
        <w:t>resources</w:t>
      </w:r>
      <w:r w:rsidR="00EC575F">
        <w:t xml:space="preserve"> are still under development. However, the Oversight Committee will continue their discussion</w:t>
      </w:r>
      <w:r w:rsidR="008A591D">
        <w:t>s</w:t>
      </w:r>
      <w:r w:rsidR="00EC575F">
        <w:t xml:space="preserve"> to develop a viable approach that addresses the BLM’s needs for future NEPA projects.</w:t>
      </w:r>
      <w:r w:rsidR="00D37B47">
        <w:t xml:space="preserve"> </w:t>
      </w:r>
      <w:r w:rsidR="005142B7">
        <w:t xml:space="preserve">The </w:t>
      </w:r>
      <w:r w:rsidR="008A591D">
        <w:t>Oversight Committee does not need to have final tasks determined for these new work products prior to approving this work plan because other modeling work need</w:t>
      </w:r>
      <w:r w:rsidR="00680937">
        <w:t>s</w:t>
      </w:r>
      <w:r w:rsidR="008A591D">
        <w:t xml:space="preserve"> to be completed before working on these </w:t>
      </w:r>
      <w:r w:rsidR="00680937">
        <w:t xml:space="preserve">new </w:t>
      </w:r>
      <w:r w:rsidR="008A591D">
        <w:t>work products</w:t>
      </w:r>
      <w:r w:rsidR="00ED4D06">
        <w:t xml:space="preserve">. </w:t>
      </w:r>
      <w:r w:rsidR="00D37B47">
        <w:t>The details of the new products and the status of the approach are include</w:t>
      </w:r>
      <w:r w:rsidR="00EC575F">
        <w:t>d</w:t>
      </w:r>
      <w:r w:rsidR="00D37B47">
        <w:t xml:space="preserve"> in Appendix A.   </w:t>
      </w:r>
      <w:r>
        <w:t xml:space="preserve">  </w:t>
      </w:r>
      <w:r w:rsidR="00D53BC3">
        <w:t xml:space="preserve"> </w:t>
      </w:r>
      <w:r w:rsidR="00667484">
        <w:t xml:space="preserve">  </w:t>
      </w:r>
    </w:p>
    <w:p w14:paraId="27FCF458" w14:textId="77777777" w:rsidR="00667484" w:rsidRDefault="00667484" w:rsidP="00E34ED3">
      <w:pPr>
        <w:pStyle w:val="ListParagraph"/>
        <w:ind w:left="360"/>
      </w:pPr>
    </w:p>
    <w:p w14:paraId="2E36A066" w14:textId="77777777" w:rsidR="00181630" w:rsidRDefault="00736E89" w:rsidP="00866BE3">
      <w:pPr>
        <w:pStyle w:val="ListParagraph"/>
        <w:numPr>
          <w:ilvl w:val="0"/>
          <w:numId w:val="1"/>
        </w:numPr>
      </w:pPr>
      <w:r>
        <w:t>Scope of Technical Work</w:t>
      </w:r>
      <w:r w:rsidR="00BC7030">
        <w:t xml:space="preserve"> </w:t>
      </w:r>
    </w:p>
    <w:p w14:paraId="00B42706" w14:textId="77777777" w:rsidR="00E34ED3" w:rsidRDefault="00E34ED3" w:rsidP="00AF644C">
      <w:pPr>
        <w:pStyle w:val="ListParagraph"/>
        <w:ind w:left="360"/>
      </w:pPr>
    </w:p>
    <w:p w14:paraId="1A49CCFA" w14:textId="5F43576C" w:rsidR="00A37EAF" w:rsidRDefault="008B1EAB" w:rsidP="00AF644C">
      <w:pPr>
        <w:pStyle w:val="ListParagraph"/>
        <w:ind w:left="360"/>
      </w:pPr>
      <w:r>
        <w:t>Referencing the process and considerations in Section II, t</w:t>
      </w:r>
      <w:r w:rsidR="001E7968" w:rsidRPr="00616EE1">
        <w:t xml:space="preserve">he </w:t>
      </w:r>
      <w:r w:rsidR="00271A29">
        <w:t>IWDW-WAQS</w:t>
      </w:r>
      <w:r w:rsidR="00616EE1" w:rsidRPr="00616EE1">
        <w:t xml:space="preserve"> </w:t>
      </w:r>
      <w:r w:rsidR="001E7968">
        <w:t>will</w:t>
      </w:r>
      <w:r w:rsidR="00616EE1" w:rsidRPr="00616EE1">
        <w:t xml:space="preserve"> complete </w:t>
      </w:r>
      <w:r w:rsidR="00031B5A">
        <w:t xml:space="preserve">a </w:t>
      </w:r>
      <w:r w:rsidR="00616EE1">
        <w:t>base year air quality modeling platform that</w:t>
      </w:r>
      <w:r w:rsidR="00031B5A">
        <w:t xml:space="preserve"> uses the most </w:t>
      </w:r>
      <w:r w:rsidR="00EF68AD">
        <w:t>recent</w:t>
      </w:r>
      <w:r w:rsidR="00031B5A">
        <w:t xml:space="preserve"> NEI products,</w:t>
      </w:r>
      <w:r w:rsidR="00616EE1">
        <w:t xml:space="preserve"> </w:t>
      </w:r>
      <w:r w:rsidR="00A904E2">
        <w:t>monitoring data</w:t>
      </w:r>
      <w:r w:rsidR="00031B5A">
        <w:t>,</w:t>
      </w:r>
      <w:r w:rsidR="00A904E2">
        <w:t xml:space="preserve"> and </w:t>
      </w:r>
      <w:r w:rsidR="00031B5A">
        <w:t xml:space="preserve">includes </w:t>
      </w:r>
      <w:r w:rsidR="00616EE1" w:rsidRPr="00616EE1">
        <w:t xml:space="preserve">a base case </w:t>
      </w:r>
      <w:r w:rsidR="00007110">
        <w:t xml:space="preserve">model performance evaluation </w:t>
      </w:r>
      <w:r w:rsidR="00616EE1">
        <w:t>(</w:t>
      </w:r>
      <w:r w:rsidR="00616EE1" w:rsidRPr="00616EE1">
        <w:t>MPE</w:t>
      </w:r>
      <w:r w:rsidR="00616EE1">
        <w:t>)</w:t>
      </w:r>
      <w:r>
        <w:t xml:space="preserve">. </w:t>
      </w:r>
      <w:r w:rsidR="00031B5A">
        <w:t>Based on discussions with the Technical and Oversight Committees, o</w:t>
      </w:r>
      <w:r>
        <w:t xml:space="preserve">ne or more future projection years may also be prepared as part of the platform. </w:t>
      </w:r>
      <w:r w:rsidR="00A37EAF">
        <w:t xml:space="preserve">All </w:t>
      </w:r>
      <w:r w:rsidR="009754D7">
        <w:t xml:space="preserve">modeling </w:t>
      </w:r>
      <w:r w:rsidR="00A37EAF">
        <w:t xml:space="preserve">activities </w:t>
      </w:r>
      <w:r w:rsidR="00AB0283">
        <w:t>and results from the modeling efforts</w:t>
      </w:r>
      <w:r w:rsidR="00A37EAF">
        <w:t xml:space="preserve"> will be documented in a</w:t>
      </w:r>
      <w:r w:rsidR="00AB0283">
        <w:t xml:space="preserve">n air quality modeling protocol and air quality modeling report. These documents will be reviewed and approved by the </w:t>
      </w:r>
      <w:r w:rsidR="00243109">
        <w:t>Technical and Oversight Committees</w:t>
      </w:r>
      <w:r w:rsidR="00AB0283">
        <w:t xml:space="preserve"> and posted on the </w:t>
      </w:r>
      <w:r w:rsidR="002230A1">
        <w:t>IWDW</w:t>
      </w:r>
      <w:r w:rsidR="00AB0283">
        <w:t xml:space="preserve"> upon completion for the public and </w:t>
      </w:r>
      <w:r w:rsidR="00290CE5">
        <w:t xml:space="preserve">data </w:t>
      </w:r>
      <w:r w:rsidR="00AB0283">
        <w:t>users.</w:t>
      </w:r>
      <w:r w:rsidR="00A37EAF">
        <w:t xml:space="preserve"> </w:t>
      </w:r>
      <w:r w:rsidR="00031B5A">
        <w:t>Depending on available funding, the Technical and Oversight Committees may complete additional quality assurance (QA) work and modeling to evaluate and improve the air quality modeling platform.</w:t>
      </w:r>
    </w:p>
    <w:p w14:paraId="1C49445A" w14:textId="77777777" w:rsidR="00A37EAF" w:rsidRDefault="00A37EAF" w:rsidP="00AF644C">
      <w:pPr>
        <w:pStyle w:val="ListParagraph"/>
        <w:ind w:left="360"/>
      </w:pPr>
    </w:p>
    <w:p w14:paraId="41CFF225" w14:textId="7EC9E8D4" w:rsidR="00551821" w:rsidRDefault="002230A1" w:rsidP="00AF644C">
      <w:pPr>
        <w:pStyle w:val="ListParagraph"/>
        <w:ind w:left="360"/>
      </w:pPr>
      <w:r>
        <w:t>Preparation of t</w:t>
      </w:r>
      <w:r w:rsidR="00616EE1" w:rsidRPr="00616EE1">
        <w:t xml:space="preserve">he NEI </w:t>
      </w:r>
      <w:r w:rsidR="002E0C70">
        <w:t>is</w:t>
      </w:r>
      <w:r w:rsidR="001D5215">
        <w:t xml:space="preserve"> on a triennial cycle </w:t>
      </w:r>
      <w:r w:rsidR="004A6A70">
        <w:t xml:space="preserve">and based on </w:t>
      </w:r>
      <w:r>
        <w:t xml:space="preserve">actual emissions </w:t>
      </w:r>
      <w:r w:rsidR="004A6A70">
        <w:t xml:space="preserve">reported </w:t>
      </w:r>
      <w:r w:rsidR="00F47177">
        <w:t xml:space="preserve">to </w:t>
      </w:r>
      <w:r w:rsidR="004A6A70">
        <w:t xml:space="preserve">EPA by state, tribal, and local agencies. Previous inventories have been completed for calendar years 2008, </w:t>
      </w:r>
      <w:r>
        <w:t xml:space="preserve">2011, </w:t>
      </w:r>
      <w:r w:rsidR="001D5215">
        <w:t>2014</w:t>
      </w:r>
      <w:r w:rsidR="00F45217">
        <w:t xml:space="preserve"> and 2017</w:t>
      </w:r>
      <w:r w:rsidR="004A6A70">
        <w:t>. Multiple reviews of a single NEI are completed to ensure accuracy and completeness. As a result, the final NEI is typically released about three to four years after the NEI year (e.g., early 2018 for the 2014 NEI).</w:t>
      </w:r>
      <w:r w:rsidR="00A904E2">
        <w:t xml:space="preserve"> </w:t>
      </w:r>
      <w:r w:rsidR="00AF644C">
        <w:t>With approval by the Cooperating Agencies, t</w:t>
      </w:r>
      <w:r w:rsidR="00AF644C" w:rsidRPr="00616EE1">
        <w:t xml:space="preserve">he </w:t>
      </w:r>
      <w:r w:rsidR="00AF644C">
        <w:t>IWDW-</w:t>
      </w:r>
      <w:r w:rsidR="00AF644C">
        <w:lastRenderedPageBreak/>
        <w:t>WAQS</w:t>
      </w:r>
      <w:r w:rsidR="00AF644C" w:rsidRPr="00616EE1">
        <w:t xml:space="preserve"> may also complete a base </w:t>
      </w:r>
      <w:r w:rsidR="00AF644C">
        <w:t>model platform</w:t>
      </w:r>
      <w:r w:rsidR="00AF644C" w:rsidRPr="00616EE1">
        <w:t xml:space="preserve"> for non-NEI </w:t>
      </w:r>
      <w:r w:rsidR="00310490">
        <w:t xml:space="preserve">cycle </w:t>
      </w:r>
      <w:r w:rsidR="00AF644C" w:rsidRPr="00616EE1">
        <w:t>years</w:t>
      </w:r>
      <w:r w:rsidR="00AF644C">
        <w:t xml:space="preserve"> or additional future-year model platforms</w:t>
      </w:r>
      <w:r w:rsidR="00AF644C" w:rsidRPr="00616EE1">
        <w:t>,</w:t>
      </w:r>
      <w:r w:rsidR="00AF644C">
        <w:t xml:space="preserve"> or </w:t>
      </w:r>
      <w:r w:rsidR="00922E4A">
        <w:t xml:space="preserve">the Cooperators may </w:t>
      </w:r>
      <w:r w:rsidR="00AF644C">
        <w:t>revise th</w:t>
      </w:r>
      <w:r w:rsidR="00922E4A">
        <w:t>is</w:t>
      </w:r>
      <w:r w:rsidR="00AF644C">
        <w:t xml:space="preserve"> work plan within the work-cycle to account for additional work</w:t>
      </w:r>
      <w:r w:rsidR="00AF644C" w:rsidRPr="00616EE1">
        <w:t>.</w:t>
      </w:r>
      <w:r w:rsidR="00F03F68">
        <w:t xml:space="preserve"> </w:t>
      </w:r>
    </w:p>
    <w:p w14:paraId="61895589" w14:textId="77777777" w:rsidR="00551821" w:rsidRDefault="00551821" w:rsidP="00AF644C">
      <w:pPr>
        <w:pStyle w:val="ListParagraph"/>
        <w:ind w:left="360"/>
      </w:pPr>
    </w:p>
    <w:p w14:paraId="6CA35410" w14:textId="42DF9DA2" w:rsidR="00C53127" w:rsidRDefault="00551821" w:rsidP="00783166">
      <w:pPr>
        <w:pStyle w:val="ListParagraph"/>
        <w:ind w:left="360"/>
      </w:pPr>
      <w:r>
        <w:t xml:space="preserve">Two photochemical grid models are </w:t>
      </w:r>
      <w:r w:rsidR="00783166">
        <w:t xml:space="preserve">available and </w:t>
      </w:r>
      <w:r>
        <w:t>used to assess air quality impacts or conditions, includ</w:t>
      </w:r>
      <w:r w:rsidR="00783166">
        <w:t>ing the Comprehensive Air Q</w:t>
      </w:r>
      <w:r w:rsidR="00783166" w:rsidRPr="00FF59D3">
        <w:t>uality Model with eXtensions (CAMx) and the Community Model for Air Quality (CMAQ)</w:t>
      </w:r>
      <w:r w:rsidR="00783166">
        <w:t xml:space="preserve">. The IWDW-WAQS modeling efforts will include both PGMs </w:t>
      </w:r>
      <w:r w:rsidR="00C53127">
        <w:t>and</w:t>
      </w:r>
      <w:r w:rsidR="00A37EAF">
        <w:t xml:space="preserve"> some combination of</w:t>
      </w:r>
      <w:r w:rsidR="00C53127">
        <w:t xml:space="preserve"> </w:t>
      </w:r>
      <w:r w:rsidR="00AD15F4">
        <w:t>36/12/</w:t>
      </w:r>
      <w:r w:rsidR="00C53127">
        <w:t>4</w:t>
      </w:r>
      <w:r w:rsidR="00AD15F4">
        <w:t xml:space="preserve"> </w:t>
      </w:r>
      <w:r w:rsidR="00C53127">
        <w:t xml:space="preserve">kilometer (km) </w:t>
      </w:r>
      <w:r w:rsidR="00A37EAF">
        <w:t xml:space="preserve">nested </w:t>
      </w:r>
      <w:r w:rsidR="00C53127">
        <w:t>model domain</w:t>
      </w:r>
      <w:r w:rsidR="00A37EAF">
        <w:t>s</w:t>
      </w:r>
      <w:r w:rsidR="00C53127">
        <w:t xml:space="preserve"> that sufficiently cover the Cooperating Agencies’ areas of interest</w:t>
      </w:r>
      <w:r w:rsidR="00783166">
        <w:t xml:space="preserve">. </w:t>
      </w:r>
      <w:r w:rsidR="009754D7">
        <w:t>The</w:t>
      </w:r>
      <w:r w:rsidR="00A37EAF">
        <w:t xml:space="preserve"> levels of reso</w:t>
      </w:r>
      <w:r w:rsidR="002230A1">
        <w:t>l</w:t>
      </w:r>
      <w:r w:rsidR="00A37EAF">
        <w:t>ut</w:t>
      </w:r>
      <w:r w:rsidR="002230A1">
        <w:t>io</w:t>
      </w:r>
      <w:r w:rsidR="00A37EAF">
        <w:t>n</w:t>
      </w:r>
      <w:r w:rsidR="009754D7">
        <w:t xml:space="preserve"> and size of model domains will be </w:t>
      </w:r>
      <w:r w:rsidR="00A37EAF">
        <w:t>docum</w:t>
      </w:r>
      <w:r w:rsidR="002230A1">
        <w:t>e</w:t>
      </w:r>
      <w:r w:rsidR="00A37EAF">
        <w:t>n</w:t>
      </w:r>
      <w:r w:rsidR="002230A1">
        <w:t>t</w:t>
      </w:r>
      <w:r w:rsidR="00A37EAF">
        <w:t xml:space="preserve">ed in </w:t>
      </w:r>
      <w:r w:rsidR="009754D7">
        <w:t xml:space="preserve">a </w:t>
      </w:r>
      <w:r w:rsidR="00A37EAF">
        <w:t>modeling</w:t>
      </w:r>
      <w:r w:rsidR="009754D7">
        <w:t xml:space="preserve"> </w:t>
      </w:r>
      <w:r w:rsidR="00A37EAF">
        <w:t>protocol</w:t>
      </w:r>
      <w:r w:rsidR="009754D7">
        <w:t xml:space="preserve"> that has been reviewed and approved by the </w:t>
      </w:r>
      <w:r w:rsidR="00243109">
        <w:t>Technical and Oversight Committees</w:t>
      </w:r>
      <w:r w:rsidR="00C53127">
        <w:t xml:space="preserve">, unless changes are documented in </w:t>
      </w:r>
      <w:r w:rsidR="00AF644C">
        <w:t xml:space="preserve">a supplement to the </w:t>
      </w:r>
      <w:r w:rsidR="009754D7">
        <w:t>approved</w:t>
      </w:r>
      <w:r w:rsidR="00C53127">
        <w:t xml:space="preserve"> </w:t>
      </w:r>
      <w:r w:rsidR="00F47177">
        <w:t>modeling protocol</w:t>
      </w:r>
      <w:r w:rsidR="00C53127">
        <w:t>.</w:t>
      </w:r>
      <w:r w:rsidR="009754D7">
        <w:t xml:space="preserve"> The IWDW-WAQS modeling efforts will not include dispersion models, such as the AERMOD and CALPUFF models.</w:t>
      </w:r>
    </w:p>
    <w:p w14:paraId="50DCEE36" w14:textId="77777777" w:rsidR="00AF644C" w:rsidRDefault="00AF644C" w:rsidP="00AF644C">
      <w:pPr>
        <w:pStyle w:val="ListParagraph"/>
        <w:ind w:left="360"/>
      </w:pPr>
    </w:p>
    <w:p w14:paraId="46AB65F5" w14:textId="77777777" w:rsidR="0034317E" w:rsidRDefault="0034317E" w:rsidP="00BE3CC6">
      <w:pPr>
        <w:pStyle w:val="ListParagraph"/>
        <w:numPr>
          <w:ilvl w:val="0"/>
          <w:numId w:val="1"/>
        </w:numPr>
      </w:pPr>
      <w:r>
        <w:t>Oversight and Management</w:t>
      </w:r>
      <w:r w:rsidR="004E737E">
        <w:t xml:space="preserve"> </w:t>
      </w:r>
    </w:p>
    <w:p w14:paraId="387347C3" w14:textId="77777777" w:rsidR="0034317E" w:rsidRDefault="0034317E" w:rsidP="0034317E">
      <w:pPr>
        <w:pStyle w:val="ListParagraph"/>
        <w:ind w:left="792"/>
      </w:pPr>
    </w:p>
    <w:p w14:paraId="3994E2ED" w14:textId="77777777" w:rsidR="00E8248F" w:rsidRDefault="00AF644C" w:rsidP="00181630">
      <w:pPr>
        <w:ind w:left="360"/>
      </w:pPr>
      <w:r>
        <w:t>On behalf of the Cooperating Agencies, i</w:t>
      </w:r>
      <w:r w:rsidR="0034317E" w:rsidRPr="00181630">
        <w:t xml:space="preserve">t will be necessary for </w:t>
      </w:r>
      <w:r w:rsidR="002F29B3">
        <w:t xml:space="preserve">the </w:t>
      </w:r>
      <w:r w:rsidR="00271A29">
        <w:t>IWDW-WAQS</w:t>
      </w:r>
      <w:r w:rsidR="00181630" w:rsidRPr="00ED5FE4">
        <w:t xml:space="preserve"> </w:t>
      </w:r>
      <w:r w:rsidR="00181630">
        <w:t>P</w:t>
      </w:r>
      <w:r w:rsidR="0034317E" w:rsidRPr="00181630">
        <w:t xml:space="preserve">roject </w:t>
      </w:r>
      <w:r w:rsidR="00181630">
        <w:t>L</w:t>
      </w:r>
      <w:r w:rsidR="0034317E" w:rsidRPr="00181630">
        <w:t>ead</w:t>
      </w:r>
      <w:r w:rsidR="00916689">
        <w:t xml:space="preserve"> Agency</w:t>
      </w:r>
      <w:r w:rsidR="009D2C74">
        <w:t xml:space="preserve">, </w:t>
      </w:r>
      <w:r w:rsidR="00C76083">
        <w:t>the N</w:t>
      </w:r>
      <w:r w:rsidR="00467F90">
        <w:t>ational Park Service (NPS)</w:t>
      </w:r>
      <w:r w:rsidR="00C76083">
        <w:t xml:space="preserve"> for financial management, and </w:t>
      </w:r>
      <w:r w:rsidR="009D2C74">
        <w:t>WESTAR-WRAP</w:t>
      </w:r>
      <w:r w:rsidR="00C76083">
        <w:t xml:space="preserve"> in the </w:t>
      </w:r>
      <w:r w:rsidR="00271A29">
        <w:t>IWDW-WAQS</w:t>
      </w:r>
      <w:r w:rsidR="00C76083">
        <w:t xml:space="preserve"> coordinator role</w:t>
      </w:r>
      <w:r w:rsidR="009D2C74">
        <w:t>,</w:t>
      </w:r>
      <w:r w:rsidR="0034317E" w:rsidRPr="00181630">
        <w:t xml:space="preserve"> </w:t>
      </w:r>
      <w:r w:rsidR="00C3721D">
        <w:t xml:space="preserve">to work together </w:t>
      </w:r>
      <w:r w:rsidR="00181630">
        <w:t>to</w:t>
      </w:r>
      <w:r w:rsidR="0034317E" w:rsidRPr="00181630">
        <w:t xml:space="preserve"> ensure that the appropriate technical </w:t>
      </w:r>
      <w:r w:rsidR="00C76083">
        <w:t xml:space="preserve">and funding </w:t>
      </w:r>
      <w:r w:rsidR="0034317E" w:rsidRPr="00181630">
        <w:t xml:space="preserve">resources are available to accomplish the tasks outlined </w:t>
      </w:r>
      <w:r w:rsidR="00181630">
        <w:t xml:space="preserve">in </w:t>
      </w:r>
      <w:r>
        <w:t>th</w:t>
      </w:r>
      <w:r w:rsidR="005F3208">
        <w:t>is</w:t>
      </w:r>
      <w:r w:rsidR="0018217D">
        <w:t xml:space="preserve"> </w:t>
      </w:r>
      <w:r w:rsidR="00665415">
        <w:t>work plan</w:t>
      </w:r>
      <w:r w:rsidR="0018217D">
        <w:t xml:space="preserve"> </w:t>
      </w:r>
      <w:r w:rsidR="0034317E" w:rsidRPr="00181630">
        <w:t>in</w:t>
      </w:r>
      <w:r w:rsidR="00373ABF">
        <w:t xml:space="preserve"> a cost</w:t>
      </w:r>
      <w:r w:rsidR="0072030E">
        <w:t>-</w:t>
      </w:r>
      <w:r w:rsidR="00373ABF">
        <w:t>effective and timely manner</w:t>
      </w:r>
      <w:r w:rsidR="00CA7945">
        <w:t>. The group will also ensure that resources are leveraged with other external groups that are working on similar air quality issues, such as WESTAR-WRAP and research and academic groups.</w:t>
      </w:r>
      <w:r w:rsidR="0034317E" w:rsidRPr="00181630">
        <w:t xml:space="preserve"> </w:t>
      </w:r>
    </w:p>
    <w:p w14:paraId="1FD264D5" w14:textId="77777777" w:rsidR="00E8248F" w:rsidRDefault="00E8248F" w:rsidP="00181630">
      <w:pPr>
        <w:ind w:left="360"/>
      </w:pPr>
    </w:p>
    <w:p w14:paraId="657304D6" w14:textId="77777777" w:rsidR="00467F90" w:rsidRPr="00181630" w:rsidRDefault="00467F90" w:rsidP="00467F90">
      <w:pPr>
        <w:ind w:left="360"/>
      </w:pPr>
      <w:r>
        <w:t>For the Lead Agency, t</w:t>
      </w:r>
      <w:r w:rsidRPr="00181630">
        <w:t>his</w:t>
      </w:r>
      <w:r>
        <w:t xml:space="preserve"> </w:t>
      </w:r>
      <w:r w:rsidRPr="00181630">
        <w:t>include</w:t>
      </w:r>
      <w:r>
        <w:t>s</w:t>
      </w:r>
      <w:r w:rsidRPr="00181630">
        <w:t>:</w:t>
      </w:r>
    </w:p>
    <w:p w14:paraId="088D6E32" w14:textId="22F618FC" w:rsidR="00467F90" w:rsidRPr="00181630" w:rsidRDefault="00467F90" w:rsidP="00467F90">
      <w:pPr>
        <w:pStyle w:val="ListParagraph"/>
        <w:numPr>
          <w:ilvl w:val="0"/>
          <w:numId w:val="3"/>
        </w:numPr>
        <w:ind w:left="1080"/>
      </w:pPr>
      <w:r>
        <w:t>P</w:t>
      </w:r>
      <w:r w:rsidRPr="00181630">
        <w:t xml:space="preserve">roviding regular updates to the </w:t>
      </w:r>
      <w:r>
        <w:t>Governing Board and the Oversight</w:t>
      </w:r>
      <w:r w:rsidRPr="00181630">
        <w:t xml:space="preserve"> Committee</w:t>
      </w:r>
      <w:r w:rsidR="0090626A">
        <w:t>,</w:t>
      </w:r>
      <w:r w:rsidRPr="00181630">
        <w:t xml:space="preserve"> </w:t>
      </w:r>
    </w:p>
    <w:p w14:paraId="34C92F95" w14:textId="56293AB6" w:rsidR="00467F90" w:rsidRPr="00181630" w:rsidRDefault="00467F90" w:rsidP="00467F90">
      <w:pPr>
        <w:pStyle w:val="ListParagraph"/>
        <w:numPr>
          <w:ilvl w:val="0"/>
          <w:numId w:val="3"/>
        </w:numPr>
        <w:ind w:left="1080"/>
      </w:pPr>
      <w:r>
        <w:t>P</w:t>
      </w:r>
      <w:r w:rsidRPr="00181630">
        <w:t>romoting collaboration with other projects that may be synergistic</w:t>
      </w:r>
      <w:r w:rsidR="0090626A">
        <w:t>,</w:t>
      </w:r>
      <w:r w:rsidRPr="00181630">
        <w:t xml:space="preserve"> </w:t>
      </w:r>
    </w:p>
    <w:p w14:paraId="2533428B" w14:textId="06BE36AE" w:rsidR="00467F90" w:rsidRPr="00181630" w:rsidRDefault="00467F90" w:rsidP="00467F90">
      <w:pPr>
        <w:pStyle w:val="ListParagraph"/>
        <w:numPr>
          <w:ilvl w:val="0"/>
          <w:numId w:val="3"/>
        </w:numPr>
        <w:ind w:left="1080"/>
      </w:pPr>
      <w:r>
        <w:t>F</w:t>
      </w:r>
      <w:r w:rsidRPr="00181630">
        <w:t>acilitating technical training and capacity building within</w:t>
      </w:r>
      <w:r>
        <w:t xml:space="preserve"> Cooperating A</w:t>
      </w:r>
      <w:r w:rsidRPr="00181630">
        <w:t>gencies</w:t>
      </w:r>
      <w:r w:rsidR="0090626A">
        <w:t>,</w:t>
      </w:r>
      <w:r w:rsidRPr="00181630">
        <w:t xml:space="preserve"> </w:t>
      </w:r>
    </w:p>
    <w:p w14:paraId="3A8C990D" w14:textId="77777777" w:rsidR="00467F90" w:rsidRPr="00181630" w:rsidRDefault="00467F90" w:rsidP="00467F90">
      <w:pPr>
        <w:pStyle w:val="ListParagraph"/>
        <w:numPr>
          <w:ilvl w:val="0"/>
          <w:numId w:val="3"/>
        </w:numPr>
        <w:ind w:left="1080"/>
      </w:pPr>
      <w:r>
        <w:t>Supporting and enabling</w:t>
      </w:r>
      <w:r w:rsidRPr="00181630">
        <w:t xml:space="preserve"> communications and outreach activities; and </w:t>
      </w:r>
    </w:p>
    <w:p w14:paraId="3ED8574C" w14:textId="77777777" w:rsidR="00467F90" w:rsidRPr="00181630" w:rsidRDefault="00467F90" w:rsidP="00467F90">
      <w:pPr>
        <w:pStyle w:val="ListParagraph"/>
        <w:numPr>
          <w:ilvl w:val="0"/>
          <w:numId w:val="3"/>
        </w:numPr>
        <w:ind w:left="1080"/>
      </w:pPr>
      <w:r>
        <w:t>P</w:t>
      </w:r>
      <w:r w:rsidRPr="00181630">
        <w:t>roviding logistical and facilitation support.</w:t>
      </w:r>
    </w:p>
    <w:p w14:paraId="0C99D4B5" w14:textId="77777777" w:rsidR="00467F90" w:rsidRDefault="00467F90" w:rsidP="00181630">
      <w:pPr>
        <w:ind w:left="360"/>
      </w:pPr>
    </w:p>
    <w:p w14:paraId="0481CBEB" w14:textId="77777777" w:rsidR="0034317E" w:rsidRPr="00181630" w:rsidRDefault="00E8248F" w:rsidP="00E8248F">
      <w:pPr>
        <w:ind w:left="360"/>
      </w:pPr>
      <w:r>
        <w:t>For NPS, t</w:t>
      </w:r>
      <w:r w:rsidR="0034317E" w:rsidRPr="00181630">
        <w:t>his</w:t>
      </w:r>
      <w:r w:rsidR="00181630">
        <w:t xml:space="preserve"> </w:t>
      </w:r>
      <w:r w:rsidR="0034317E" w:rsidRPr="00181630">
        <w:t>include</w:t>
      </w:r>
      <w:r w:rsidR="00181630">
        <w:t>s</w:t>
      </w:r>
      <w:r w:rsidR="0034317E" w:rsidRPr="00181630">
        <w:t>:</w:t>
      </w:r>
    </w:p>
    <w:p w14:paraId="0278B7A3" w14:textId="4A446D87" w:rsidR="00C76083" w:rsidRDefault="00954D8E" w:rsidP="00E84D07">
      <w:pPr>
        <w:pStyle w:val="ListParagraph"/>
        <w:numPr>
          <w:ilvl w:val="0"/>
          <w:numId w:val="3"/>
        </w:numPr>
        <w:ind w:left="1080"/>
      </w:pPr>
      <w:r>
        <w:t>C</w:t>
      </w:r>
      <w:r w:rsidR="00C76083">
        <w:t xml:space="preserve">ontinuing and updating </w:t>
      </w:r>
      <w:r w:rsidR="00030E70">
        <w:t xml:space="preserve">cooperative agreements </w:t>
      </w:r>
      <w:r w:rsidR="00C76083">
        <w:t xml:space="preserve">for IWDW operations and </w:t>
      </w:r>
      <w:r w:rsidR="00271A29">
        <w:t>IWDW-WAQS</w:t>
      </w:r>
      <w:r w:rsidR="00C76083">
        <w:t xml:space="preserve"> coordination</w:t>
      </w:r>
      <w:r w:rsidR="0090626A">
        <w:t>,</w:t>
      </w:r>
      <w:r w:rsidR="00C76083">
        <w:t xml:space="preserve">  </w:t>
      </w:r>
    </w:p>
    <w:p w14:paraId="6C29A3B5" w14:textId="3E2AB659" w:rsidR="00E8248F" w:rsidRPr="00181630" w:rsidRDefault="00E8248F" w:rsidP="00E8248F">
      <w:pPr>
        <w:pStyle w:val="ListParagraph"/>
        <w:numPr>
          <w:ilvl w:val="0"/>
          <w:numId w:val="3"/>
        </w:numPr>
        <w:ind w:left="1080"/>
      </w:pPr>
      <w:r>
        <w:t>P</w:t>
      </w:r>
      <w:r w:rsidRPr="00181630">
        <w:t xml:space="preserve">roviding regular updates to the </w:t>
      </w:r>
      <w:r>
        <w:t>Governing Board and the Oversight</w:t>
      </w:r>
      <w:r w:rsidRPr="00181630">
        <w:t xml:space="preserve"> Committee</w:t>
      </w:r>
      <w:r w:rsidR="0090626A">
        <w:t>,</w:t>
      </w:r>
      <w:r w:rsidRPr="00181630">
        <w:t xml:space="preserve"> </w:t>
      </w:r>
    </w:p>
    <w:p w14:paraId="147A3924" w14:textId="77777777" w:rsidR="00E8248F" w:rsidRPr="00181630" w:rsidRDefault="00E8248F" w:rsidP="00E8248F">
      <w:pPr>
        <w:pStyle w:val="ListParagraph"/>
        <w:numPr>
          <w:ilvl w:val="0"/>
          <w:numId w:val="3"/>
        </w:numPr>
        <w:ind w:left="1080"/>
      </w:pPr>
      <w:r>
        <w:t>M</w:t>
      </w:r>
      <w:r w:rsidRPr="00181630">
        <w:t xml:space="preserve">anaging the receipt and use of project monies; </w:t>
      </w:r>
      <w:r w:rsidR="00A47E1E">
        <w:t>and</w:t>
      </w:r>
    </w:p>
    <w:p w14:paraId="2FEED127" w14:textId="77777777" w:rsidR="00E8248F" w:rsidRDefault="00E8248F" w:rsidP="00606C02">
      <w:pPr>
        <w:pStyle w:val="ListParagraph"/>
        <w:numPr>
          <w:ilvl w:val="0"/>
          <w:numId w:val="3"/>
        </w:numPr>
        <w:ind w:left="1080"/>
      </w:pPr>
      <w:r>
        <w:t>P</w:t>
      </w:r>
      <w:r w:rsidRPr="00181630">
        <w:t>roviding logistical and facilitation support.</w:t>
      </w:r>
    </w:p>
    <w:p w14:paraId="77DA8C0C" w14:textId="77777777" w:rsidR="00E8248F" w:rsidRDefault="00E8248F" w:rsidP="00E8248F">
      <w:pPr>
        <w:pStyle w:val="ListParagraph"/>
        <w:ind w:left="1080"/>
      </w:pPr>
    </w:p>
    <w:p w14:paraId="163BA21F" w14:textId="77777777" w:rsidR="00E8248F" w:rsidRDefault="00E8248F" w:rsidP="002B3079">
      <w:pPr>
        <w:ind w:left="360"/>
      </w:pPr>
      <w:r>
        <w:t>For WESTAR-WRAP, this includes:</w:t>
      </w:r>
    </w:p>
    <w:p w14:paraId="08C7392F" w14:textId="07A25A2A" w:rsidR="003125C7" w:rsidRDefault="003125C7" w:rsidP="006117D3">
      <w:pPr>
        <w:pStyle w:val="ListParagraph"/>
        <w:numPr>
          <w:ilvl w:val="0"/>
          <w:numId w:val="28"/>
        </w:numPr>
        <w:ind w:left="1080"/>
      </w:pPr>
      <w:r>
        <w:t>O</w:t>
      </w:r>
      <w:r w:rsidRPr="00181630">
        <w:t>verseeing and coordinating the</w:t>
      </w:r>
      <w:r>
        <w:t xml:space="preserve"> day-to-day operations and longer-term strategic planning for the IWDW</w:t>
      </w:r>
      <w:r w:rsidR="0090626A">
        <w:t>,</w:t>
      </w:r>
    </w:p>
    <w:p w14:paraId="5DE98335" w14:textId="7A69AAF6" w:rsidR="003125C7" w:rsidRDefault="00954D8E" w:rsidP="006117D3">
      <w:pPr>
        <w:pStyle w:val="ListParagraph"/>
        <w:numPr>
          <w:ilvl w:val="0"/>
          <w:numId w:val="28"/>
        </w:numPr>
        <w:ind w:left="1080"/>
      </w:pPr>
      <w:r>
        <w:t>O</w:t>
      </w:r>
      <w:r w:rsidR="0034317E" w:rsidRPr="00181630">
        <w:t>verseeing and coordinating the</w:t>
      </w:r>
      <w:r w:rsidR="00C76083">
        <w:t xml:space="preserve"> </w:t>
      </w:r>
      <w:r w:rsidR="003125C7">
        <w:t xml:space="preserve">WAQS </w:t>
      </w:r>
      <w:r w:rsidR="00C76083">
        <w:t>modeling</w:t>
      </w:r>
      <w:r w:rsidR="0034317E" w:rsidRPr="00181630">
        <w:t xml:space="preserve"> contractor</w:t>
      </w:r>
      <w:r w:rsidR="00C76083">
        <w:t>(</w:t>
      </w:r>
      <w:r w:rsidR="0034317E" w:rsidRPr="00181630">
        <w:t>s</w:t>
      </w:r>
      <w:r w:rsidR="00C76083">
        <w:t>)</w:t>
      </w:r>
      <w:r w:rsidR="0034317E" w:rsidRPr="00181630">
        <w:t xml:space="preserve"> in consultation with the Technical Committee and with</w:t>
      </w:r>
      <w:r w:rsidR="002B3079">
        <w:t xml:space="preserve"> review and endorsement</w:t>
      </w:r>
      <w:r w:rsidR="0034317E" w:rsidRPr="00181630">
        <w:t xml:space="preserve"> of final work products by the </w:t>
      </w:r>
      <w:r w:rsidR="00181630">
        <w:t>Oversight</w:t>
      </w:r>
      <w:r w:rsidR="0034317E" w:rsidRPr="00181630">
        <w:t xml:space="preserve"> Committee</w:t>
      </w:r>
      <w:r w:rsidR="0090626A">
        <w:t>,</w:t>
      </w:r>
    </w:p>
    <w:p w14:paraId="625B7EDD" w14:textId="42D097ED" w:rsidR="00F6586B" w:rsidRDefault="003125C7" w:rsidP="003125C7">
      <w:pPr>
        <w:pStyle w:val="ListParagraph"/>
        <w:numPr>
          <w:ilvl w:val="0"/>
          <w:numId w:val="3"/>
        </w:numPr>
        <w:ind w:left="1080"/>
      </w:pPr>
      <w:r>
        <w:t xml:space="preserve">Assuming timely sufficient resources, assuring the </w:t>
      </w:r>
      <w:r w:rsidRPr="00181630">
        <w:t xml:space="preserve">bidding and awarding </w:t>
      </w:r>
      <w:r>
        <w:t xml:space="preserve">of firm, fixed price </w:t>
      </w:r>
      <w:r w:rsidRPr="00181630">
        <w:t xml:space="preserve">contracts </w:t>
      </w:r>
      <w:r>
        <w:t xml:space="preserve">for modeling and analysis with defined deliverables over time </w:t>
      </w:r>
      <w:r w:rsidRPr="00181630">
        <w:t xml:space="preserve">to perform the </w:t>
      </w:r>
      <w:r w:rsidRPr="00181630">
        <w:lastRenderedPageBreak/>
        <w:t>technical work which includes emission inventory development</w:t>
      </w:r>
      <w:r>
        <w:t>,</w:t>
      </w:r>
      <w:r w:rsidRPr="00181630">
        <w:t xml:space="preserve"> modeling</w:t>
      </w:r>
      <w:r>
        <w:t>, and associated analyses</w:t>
      </w:r>
      <w:r w:rsidRPr="00181630">
        <w:t xml:space="preserve"> in consultation with the Technical and </w:t>
      </w:r>
      <w:r>
        <w:t>Oversight</w:t>
      </w:r>
      <w:r w:rsidRPr="00181630">
        <w:t xml:space="preserve"> Committees</w:t>
      </w:r>
      <w:r w:rsidR="0090626A">
        <w:t>,</w:t>
      </w:r>
    </w:p>
    <w:p w14:paraId="6B1ED2BA" w14:textId="576142FA" w:rsidR="0034317E" w:rsidRPr="00181630" w:rsidRDefault="00954D8E" w:rsidP="003125C7">
      <w:pPr>
        <w:pStyle w:val="ListParagraph"/>
        <w:numPr>
          <w:ilvl w:val="0"/>
          <w:numId w:val="3"/>
        </w:numPr>
        <w:ind w:left="1080"/>
      </w:pPr>
      <w:r>
        <w:t>P</w:t>
      </w:r>
      <w:r w:rsidR="0034317E" w:rsidRPr="00181630">
        <w:t xml:space="preserve">roviding regular updates to the </w:t>
      </w:r>
      <w:r w:rsidR="00181630">
        <w:t>Governing Board and the Oversight</w:t>
      </w:r>
      <w:r w:rsidR="0034317E" w:rsidRPr="00181630">
        <w:t xml:space="preserve"> Committee</w:t>
      </w:r>
      <w:r w:rsidR="0090626A">
        <w:t>,</w:t>
      </w:r>
      <w:r w:rsidR="0034317E" w:rsidRPr="00181630">
        <w:t xml:space="preserve"> </w:t>
      </w:r>
    </w:p>
    <w:p w14:paraId="18871FBC" w14:textId="49534F88" w:rsidR="0034317E" w:rsidRPr="00181630" w:rsidRDefault="00954D8E" w:rsidP="00E84D07">
      <w:pPr>
        <w:pStyle w:val="ListParagraph"/>
        <w:numPr>
          <w:ilvl w:val="0"/>
          <w:numId w:val="3"/>
        </w:numPr>
        <w:ind w:left="1080"/>
      </w:pPr>
      <w:r>
        <w:t>P</w:t>
      </w:r>
      <w:r w:rsidR="0034317E" w:rsidRPr="00181630">
        <w:t>romoting collaboration with other projects that may be synergistic</w:t>
      </w:r>
      <w:r w:rsidR="0090626A">
        <w:t>,</w:t>
      </w:r>
      <w:r w:rsidR="0034317E" w:rsidRPr="00181630">
        <w:t xml:space="preserve"> </w:t>
      </w:r>
    </w:p>
    <w:p w14:paraId="12D93402" w14:textId="1C1EDEAA" w:rsidR="0034317E" w:rsidRPr="00181630" w:rsidRDefault="00AF644C" w:rsidP="00E84D07">
      <w:pPr>
        <w:pStyle w:val="ListParagraph"/>
        <w:numPr>
          <w:ilvl w:val="0"/>
          <w:numId w:val="3"/>
        </w:numPr>
        <w:ind w:left="1080"/>
      </w:pPr>
      <w:r>
        <w:t>F</w:t>
      </w:r>
      <w:r w:rsidR="0034317E" w:rsidRPr="00181630">
        <w:t>acilitating technical training and capacity building within</w:t>
      </w:r>
      <w:r w:rsidR="00373ABF">
        <w:t xml:space="preserve"> Cooperating A</w:t>
      </w:r>
      <w:r w:rsidR="0034317E" w:rsidRPr="00181630">
        <w:t>gencies as needed</w:t>
      </w:r>
      <w:r w:rsidR="0090626A">
        <w:t>,</w:t>
      </w:r>
      <w:r w:rsidR="0034317E" w:rsidRPr="00181630">
        <w:t xml:space="preserve"> </w:t>
      </w:r>
    </w:p>
    <w:p w14:paraId="31ACF9DC" w14:textId="6750D375" w:rsidR="0034317E" w:rsidRPr="00181630" w:rsidRDefault="00954D8E" w:rsidP="00E84D07">
      <w:pPr>
        <w:pStyle w:val="ListParagraph"/>
        <w:numPr>
          <w:ilvl w:val="0"/>
          <w:numId w:val="3"/>
        </w:numPr>
        <w:ind w:left="1080"/>
      </w:pPr>
      <w:r>
        <w:t>M</w:t>
      </w:r>
      <w:r w:rsidR="0034317E" w:rsidRPr="00181630">
        <w:t>anaging the receipt and use of project monies</w:t>
      </w:r>
      <w:r w:rsidR="0090626A">
        <w:t>,</w:t>
      </w:r>
      <w:r w:rsidR="0034317E" w:rsidRPr="00181630">
        <w:t xml:space="preserve"> </w:t>
      </w:r>
    </w:p>
    <w:p w14:paraId="53FA2B30" w14:textId="77777777" w:rsidR="0034317E" w:rsidRPr="00181630" w:rsidRDefault="00954D8E" w:rsidP="00E84D07">
      <w:pPr>
        <w:pStyle w:val="ListParagraph"/>
        <w:numPr>
          <w:ilvl w:val="0"/>
          <w:numId w:val="3"/>
        </w:numPr>
        <w:ind w:left="1080"/>
      </w:pPr>
      <w:r>
        <w:t>C</w:t>
      </w:r>
      <w:r w:rsidR="0034317E" w:rsidRPr="00181630">
        <w:t xml:space="preserve">oordinating </w:t>
      </w:r>
      <w:r w:rsidR="00F6586B">
        <w:t xml:space="preserve">and supporting </w:t>
      </w:r>
      <w:r w:rsidR="0034317E" w:rsidRPr="00181630">
        <w:t xml:space="preserve">communications and outreach activities; and </w:t>
      </w:r>
    </w:p>
    <w:p w14:paraId="3F57A81B" w14:textId="77777777" w:rsidR="0034317E" w:rsidRPr="00181630" w:rsidRDefault="00954D8E" w:rsidP="00E84D07">
      <w:pPr>
        <w:pStyle w:val="ListParagraph"/>
        <w:numPr>
          <w:ilvl w:val="0"/>
          <w:numId w:val="3"/>
        </w:numPr>
        <w:ind w:left="1080"/>
      </w:pPr>
      <w:r>
        <w:t>P</w:t>
      </w:r>
      <w:r w:rsidR="0034317E" w:rsidRPr="00181630">
        <w:t xml:space="preserve">roviding logistical and facilitation support, </w:t>
      </w:r>
      <w:r w:rsidR="00F6586B">
        <w:t>within available resource constraints</w:t>
      </w:r>
      <w:r w:rsidR="0034317E" w:rsidRPr="00181630">
        <w:t>.</w:t>
      </w:r>
    </w:p>
    <w:p w14:paraId="20D8DB38" w14:textId="77777777" w:rsidR="0034317E" w:rsidRDefault="0034317E" w:rsidP="0034317E">
      <w:pPr>
        <w:pStyle w:val="ListParagraph"/>
        <w:ind w:left="792"/>
      </w:pPr>
    </w:p>
    <w:p w14:paraId="3A5EAACB" w14:textId="77777777" w:rsidR="00467F90" w:rsidRDefault="00467F90" w:rsidP="00467F90">
      <w:pPr>
        <w:ind w:left="360"/>
      </w:pPr>
      <w:r>
        <w:t>All groups will work together to ensure that the IWDW has the capacity to accommodate the IWDW-WAQS</w:t>
      </w:r>
      <w:r w:rsidRPr="00ED5FE4">
        <w:t xml:space="preserve"> </w:t>
      </w:r>
      <w:r>
        <w:t>work products and user needs.</w:t>
      </w:r>
    </w:p>
    <w:p w14:paraId="5CCAF11B" w14:textId="77777777" w:rsidR="00467F90" w:rsidRDefault="00467F90" w:rsidP="0034317E">
      <w:pPr>
        <w:pStyle w:val="ListParagraph"/>
        <w:ind w:left="792"/>
      </w:pPr>
    </w:p>
    <w:p w14:paraId="70907DF6" w14:textId="77777777" w:rsidR="00AF644C" w:rsidRDefault="00AF644C" w:rsidP="00AF644C">
      <w:pPr>
        <w:pStyle w:val="ListParagraph"/>
        <w:ind w:left="360"/>
      </w:pPr>
      <w:r>
        <w:t>Each</w:t>
      </w:r>
      <w:r w:rsidR="00766A5B">
        <w:t xml:space="preserve"> work plan </w:t>
      </w:r>
      <w:r w:rsidRPr="00766A5B">
        <w:t>component</w:t>
      </w:r>
      <w:r>
        <w:t xml:space="preserve"> </w:t>
      </w:r>
      <w:r w:rsidR="00E56117">
        <w:t xml:space="preserve">described </w:t>
      </w:r>
      <w:r w:rsidR="002B3079">
        <w:t>in the following sections</w:t>
      </w:r>
      <w:r w:rsidR="00E56117">
        <w:t xml:space="preserve"> </w:t>
      </w:r>
      <w:r w:rsidR="002B3079">
        <w:t xml:space="preserve">will </w:t>
      </w:r>
      <w:r>
        <w:t xml:space="preserve">include </w:t>
      </w:r>
      <w:r w:rsidR="002B3079">
        <w:t>pro</w:t>
      </w:r>
      <w:r w:rsidR="00CC1139">
        <w:t xml:space="preserve">tocols, </w:t>
      </w:r>
      <w:r>
        <w:t>progress reports, final report</w:t>
      </w:r>
      <w:r w:rsidR="00CC1139">
        <w:t>s</w:t>
      </w:r>
      <w:r>
        <w:t xml:space="preserve"> of the activities</w:t>
      </w:r>
      <w:r w:rsidR="00CC1139">
        <w:t>, and outputs from work (i.e., tools, files, analyses, etc.)</w:t>
      </w:r>
      <w:r w:rsidR="002B3079">
        <w:t>. These documents</w:t>
      </w:r>
      <w:r w:rsidR="00CC1139">
        <w:t xml:space="preserve"> and products</w:t>
      </w:r>
      <w:r w:rsidR="002B3079">
        <w:t xml:space="preserve"> will be</w:t>
      </w:r>
      <w:r>
        <w:t xml:space="preserve"> reviewed and </w:t>
      </w:r>
      <w:r w:rsidR="002B3079">
        <w:t xml:space="preserve">endorsed </w:t>
      </w:r>
      <w:r>
        <w:t xml:space="preserve">by the Technical and Oversight Committees. Periodic meetings among the Cooperating Agencies </w:t>
      </w:r>
      <w:r w:rsidR="002B3079">
        <w:t xml:space="preserve">will </w:t>
      </w:r>
      <w:r>
        <w:t xml:space="preserve">also occur throughout the work plan cycle to discuss the progress, challenges, and potential changes to the work. All associated documents and meeting notes will be prepared by </w:t>
      </w:r>
      <w:r w:rsidR="00DE38E2">
        <w:t xml:space="preserve">staff from the </w:t>
      </w:r>
      <w:r w:rsidR="00E56117">
        <w:t>Cooperating Agencies, WESTAR-WRAP, CIRA,</w:t>
      </w:r>
      <w:r>
        <w:t xml:space="preserve"> and contractors, and maintained on the IWDW.</w:t>
      </w:r>
    </w:p>
    <w:p w14:paraId="723D2872" w14:textId="77777777" w:rsidR="00BE3CC6" w:rsidRDefault="00BE3CC6" w:rsidP="00BE3CC6"/>
    <w:p w14:paraId="2F4594C7" w14:textId="77777777" w:rsidR="00152A5D" w:rsidRDefault="00502605" w:rsidP="00BE3CC6">
      <w:pPr>
        <w:pStyle w:val="ListParagraph"/>
        <w:numPr>
          <w:ilvl w:val="0"/>
          <w:numId w:val="1"/>
        </w:numPr>
      </w:pPr>
      <w:r>
        <w:t xml:space="preserve">Air Quality </w:t>
      </w:r>
      <w:r w:rsidR="00152A5D">
        <w:t>Monitoring</w:t>
      </w:r>
      <w:r w:rsidR="004E737E">
        <w:t xml:space="preserve"> </w:t>
      </w:r>
    </w:p>
    <w:p w14:paraId="1B695769" w14:textId="77777777" w:rsidR="0034317E" w:rsidRPr="00181630" w:rsidRDefault="0034317E" w:rsidP="0034317E">
      <w:pPr>
        <w:ind w:left="360"/>
      </w:pPr>
    </w:p>
    <w:p w14:paraId="334B04B4" w14:textId="57612686" w:rsidR="00181630" w:rsidRDefault="00181630" w:rsidP="00181630">
      <w:pPr>
        <w:ind w:left="360"/>
      </w:pPr>
      <w:r w:rsidRPr="00181630">
        <w:t xml:space="preserve">It will be necessary to </w:t>
      </w:r>
      <w:r w:rsidR="00CF7B96" w:rsidRPr="00181630">
        <w:t>periodically</w:t>
      </w:r>
      <w:r w:rsidR="00CF7B96">
        <w:t xml:space="preserve"> </w:t>
      </w:r>
      <w:r w:rsidRPr="00181630">
        <w:t>review the monitoring network</w:t>
      </w:r>
      <w:r w:rsidR="00CF7B96">
        <w:t>s</w:t>
      </w:r>
      <w:r w:rsidRPr="00181630">
        <w:t xml:space="preserve"> </w:t>
      </w:r>
      <w:r w:rsidR="00CF7B96">
        <w:t>operated by Cooperating Agencies across the geographic area of the IWDW-WAQS</w:t>
      </w:r>
      <w:r w:rsidRPr="00181630">
        <w:t xml:space="preserve"> to ensure </w:t>
      </w:r>
      <w:r w:rsidR="00CF7B96">
        <w:t>the coverage and monitoring parameters are</w:t>
      </w:r>
      <w:r w:rsidRPr="00181630">
        <w:t xml:space="preserve"> </w:t>
      </w:r>
      <w:r w:rsidR="00C436B2">
        <w:t xml:space="preserve">well-understood and help </w:t>
      </w:r>
      <w:r w:rsidRPr="00181630">
        <w:t xml:space="preserve">meet the needs of the </w:t>
      </w:r>
      <w:r w:rsidR="00271A29">
        <w:t>IWDW-WAQS</w:t>
      </w:r>
      <w:r w:rsidRPr="00181630">
        <w:t>.</w:t>
      </w:r>
      <w:r w:rsidR="00373ABF">
        <w:t xml:space="preserve"> The </w:t>
      </w:r>
      <w:r w:rsidR="00CF7B96">
        <w:t xml:space="preserve">collective </w:t>
      </w:r>
      <w:r w:rsidR="008E02C4">
        <w:t xml:space="preserve">review of the </w:t>
      </w:r>
      <w:r w:rsidR="00373ABF">
        <w:t>monitoring network</w:t>
      </w:r>
      <w:r w:rsidR="00CF7B96">
        <w:t xml:space="preserve">s </w:t>
      </w:r>
      <w:r w:rsidR="008E02C4">
        <w:t>is</w:t>
      </w:r>
      <w:r w:rsidR="00373ABF">
        <w:t xml:space="preserve"> important for understan</w:t>
      </w:r>
      <w:r w:rsidR="008505DF">
        <w:t xml:space="preserve">ding air quality trends and </w:t>
      </w:r>
      <w:r w:rsidR="00D86130">
        <w:t xml:space="preserve">to support </w:t>
      </w:r>
      <w:r w:rsidR="009F1094">
        <w:t>MPE</w:t>
      </w:r>
      <w:r w:rsidR="00076A72">
        <w:t>s</w:t>
      </w:r>
      <w:r w:rsidR="00373ABF">
        <w:t>.</w:t>
      </w:r>
      <w:r w:rsidRPr="00181630">
        <w:t xml:space="preserve"> </w:t>
      </w:r>
      <w:r w:rsidR="0061779C">
        <w:t>A</w:t>
      </w:r>
      <w:r w:rsidR="00D86130">
        <w:t>n evaluation of the</w:t>
      </w:r>
      <w:r w:rsidR="00A31781">
        <w:t xml:space="preserve"> </w:t>
      </w:r>
      <w:r w:rsidR="00D86130">
        <w:t>air quality monitoring network</w:t>
      </w:r>
      <w:r w:rsidR="00A31781">
        <w:t>s</w:t>
      </w:r>
      <w:r w:rsidR="008E02C4">
        <w:t>, with respect to the networks</w:t>
      </w:r>
      <w:r w:rsidR="00DD5A29">
        <w:t>’</w:t>
      </w:r>
      <w:r w:rsidR="008E02C4">
        <w:t xml:space="preserve"> configurations and parameters,</w:t>
      </w:r>
      <w:r w:rsidR="00D86130">
        <w:t xml:space="preserve"> will occur</w:t>
      </w:r>
      <w:r>
        <w:t xml:space="preserve"> once in a </w:t>
      </w:r>
      <w:r w:rsidR="00D86130">
        <w:t>3</w:t>
      </w:r>
      <w:r>
        <w:t>-</w:t>
      </w:r>
      <w:r w:rsidRPr="00181630">
        <w:t>year technical cycl</w:t>
      </w:r>
      <w:r w:rsidR="00D86130">
        <w:t xml:space="preserve">e </w:t>
      </w:r>
      <w:r w:rsidR="00A904E2">
        <w:t>that aligns with the air quality modeling work</w:t>
      </w:r>
      <w:r w:rsidR="00A31781">
        <w:t>.</w:t>
      </w:r>
      <w:r w:rsidR="0061779C" w:rsidRPr="0061779C">
        <w:t xml:space="preserve"> </w:t>
      </w:r>
      <w:r w:rsidR="0061779C">
        <w:t xml:space="preserve">The evaluation is needed to </w:t>
      </w:r>
      <w:r w:rsidR="00C26398">
        <w:t xml:space="preserve">support the </w:t>
      </w:r>
      <w:r w:rsidR="0061779C">
        <w:t>on</w:t>
      </w:r>
      <w:r w:rsidR="00C26398">
        <w:t>-</w:t>
      </w:r>
      <w:r w:rsidR="0061779C">
        <w:t>going operation of monitoring sites important to tracking of air quality impacts</w:t>
      </w:r>
      <w:r w:rsidR="00C26398">
        <w:t xml:space="preserve"> in the intermountain-west, and to obtain consensus among Cooperators prior to s</w:t>
      </w:r>
      <w:r w:rsidR="0061779C">
        <w:t>ite closures or changes by an individual Cooperator agency</w:t>
      </w:r>
      <w:r w:rsidR="00C26398">
        <w:t>.</w:t>
      </w:r>
    </w:p>
    <w:p w14:paraId="600031A6" w14:textId="77777777" w:rsidR="00D665F9" w:rsidRDefault="00D665F9" w:rsidP="00181630">
      <w:pPr>
        <w:ind w:left="360"/>
      </w:pPr>
    </w:p>
    <w:p w14:paraId="027D995B" w14:textId="77777777" w:rsidR="00373ABF" w:rsidRPr="00181630" w:rsidRDefault="00373ABF" w:rsidP="00181630">
      <w:pPr>
        <w:ind w:left="360"/>
      </w:pPr>
      <w:r>
        <w:t xml:space="preserve">The general objectives of the monitoring network assessment </w:t>
      </w:r>
      <w:r w:rsidR="001218E4">
        <w:t>include</w:t>
      </w:r>
      <w:r>
        <w:t>:</w:t>
      </w:r>
    </w:p>
    <w:p w14:paraId="2770E8B0" w14:textId="72A1BC30" w:rsidR="00C74803" w:rsidRDefault="00766A5B" w:rsidP="00E84D07">
      <w:pPr>
        <w:numPr>
          <w:ilvl w:val="0"/>
          <w:numId w:val="4"/>
        </w:numPr>
        <w:tabs>
          <w:tab w:val="clear" w:pos="720"/>
        </w:tabs>
        <w:ind w:left="1080"/>
      </w:pPr>
      <w:r>
        <w:t>A</w:t>
      </w:r>
      <w:r w:rsidR="00903016">
        <w:t>ssess</w:t>
      </w:r>
      <w:r w:rsidR="00C74803">
        <w:t xml:space="preserve"> the </w:t>
      </w:r>
      <w:r w:rsidR="00903016">
        <w:t xml:space="preserve">adequacy of the available air quality monitoring </w:t>
      </w:r>
      <w:r w:rsidR="00C74803">
        <w:t>network</w:t>
      </w:r>
      <w:r w:rsidR="00A31781">
        <w:t>s</w:t>
      </w:r>
      <w:r w:rsidR="00C74803">
        <w:t xml:space="preserve"> </w:t>
      </w:r>
      <w:r w:rsidR="00B86E66">
        <w:t xml:space="preserve">(i.e., AQS, CASTNET, etc.) </w:t>
      </w:r>
      <w:r w:rsidR="00C74803">
        <w:t>to determine whether:</w:t>
      </w:r>
    </w:p>
    <w:p w14:paraId="319B7D5C" w14:textId="22CD1615" w:rsidR="00373ABF" w:rsidRDefault="00954D8E" w:rsidP="00ED7B2B">
      <w:pPr>
        <w:numPr>
          <w:ilvl w:val="1"/>
          <w:numId w:val="4"/>
        </w:numPr>
        <w:tabs>
          <w:tab w:val="clear" w:pos="1440"/>
        </w:tabs>
        <w:ind w:left="1620"/>
      </w:pPr>
      <w:r>
        <w:t xml:space="preserve">The </w:t>
      </w:r>
      <w:r w:rsidR="00D86130">
        <w:t>c</w:t>
      </w:r>
      <w:r w:rsidR="00F92629" w:rsidRPr="00BB3A33">
        <w:t xml:space="preserve">urrent </w:t>
      </w:r>
      <w:r>
        <w:t xml:space="preserve">monitoring </w:t>
      </w:r>
      <w:r w:rsidR="00C74803">
        <w:t>network</w:t>
      </w:r>
      <w:r w:rsidR="00C6695A">
        <w:t>s</w:t>
      </w:r>
      <w:r w:rsidR="00F92629" w:rsidRPr="00BB3A33">
        <w:t xml:space="preserve"> meet objectives</w:t>
      </w:r>
      <w:r w:rsidR="00D86130">
        <w:t xml:space="preserve"> of the Cooperating Agencies</w:t>
      </w:r>
      <w:r w:rsidR="00C74803">
        <w:t xml:space="preserve"> to understand air quality trends and support M</w:t>
      </w:r>
      <w:r w:rsidR="0090626A">
        <w:t xml:space="preserve">odel </w:t>
      </w:r>
      <w:r w:rsidR="00C74803">
        <w:t>P</w:t>
      </w:r>
      <w:r w:rsidR="0090626A">
        <w:t xml:space="preserve">erformance </w:t>
      </w:r>
      <w:r w:rsidR="00C74803">
        <w:t>E</w:t>
      </w:r>
      <w:r w:rsidR="0090626A">
        <w:t>valuation criteria,</w:t>
      </w:r>
    </w:p>
    <w:p w14:paraId="3524FF99" w14:textId="18C4FEA6" w:rsidR="00C74803" w:rsidRDefault="00954D8E" w:rsidP="00ED7B2B">
      <w:pPr>
        <w:numPr>
          <w:ilvl w:val="1"/>
          <w:numId w:val="4"/>
        </w:numPr>
        <w:tabs>
          <w:tab w:val="clear" w:pos="1440"/>
        </w:tabs>
        <w:ind w:left="1620"/>
      </w:pPr>
      <w:r>
        <w:t>T</w:t>
      </w:r>
      <w:r w:rsidR="00C74803">
        <w:t>he regional air q</w:t>
      </w:r>
      <w:r w:rsidR="00FE4F21">
        <w:t>uality</w:t>
      </w:r>
      <w:r w:rsidR="005F505B">
        <w:t xml:space="preserve"> monitoring network</w:t>
      </w:r>
      <w:r w:rsidR="00A31781">
        <w:t xml:space="preserve">s </w:t>
      </w:r>
      <w:r w:rsidR="006F3D72">
        <w:t>can</w:t>
      </w:r>
      <w:r w:rsidR="00A31781">
        <w:t xml:space="preserve"> cha</w:t>
      </w:r>
      <w:r w:rsidR="006D4B3C">
        <w:t>racteriz</w:t>
      </w:r>
      <w:r w:rsidR="00A31781">
        <w:t>e</w:t>
      </w:r>
      <w:r w:rsidR="00FE4F21">
        <w:t xml:space="preserve"> </w:t>
      </w:r>
      <w:r w:rsidR="00C74803">
        <w:t>impacts from existing and potential future sources; and</w:t>
      </w:r>
    </w:p>
    <w:p w14:paraId="676E6DDE" w14:textId="77777777" w:rsidR="00C74803" w:rsidRDefault="00C74803" w:rsidP="00ED7B2B">
      <w:pPr>
        <w:numPr>
          <w:ilvl w:val="1"/>
          <w:numId w:val="4"/>
        </w:numPr>
        <w:tabs>
          <w:tab w:val="clear" w:pos="1440"/>
        </w:tabs>
        <w:ind w:left="1620"/>
      </w:pPr>
      <w:r>
        <w:t>AQRVs in representative Class I and sensitive Class II areas</w:t>
      </w:r>
      <w:r w:rsidR="00FA36B4">
        <w:t xml:space="preserve">, as determined by the </w:t>
      </w:r>
      <w:r w:rsidR="00E42DD7">
        <w:t>Cooperating Agencies</w:t>
      </w:r>
      <w:r w:rsidR="00FA36B4">
        <w:t>,</w:t>
      </w:r>
      <w:r>
        <w:t xml:space="preserve"> are adequately monitored.</w:t>
      </w:r>
    </w:p>
    <w:p w14:paraId="1279BCF6" w14:textId="77777777" w:rsidR="00C74803" w:rsidRDefault="00766A5B" w:rsidP="00E84D07">
      <w:pPr>
        <w:numPr>
          <w:ilvl w:val="0"/>
          <w:numId w:val="4"/>
        </w:numPr>
        <w:tabs>
          <w:tab w:val="clear" w:pos="720"/>
        </w:tabs>
        <w:ind w:left="1080"/>
      </w:pPr>
      <w:r>
        <w:t xml:space="preserve">Recommendations for the </w:t>
      </w:r>
      <w:r w:rsidR="00C74803">
        <w:t xml:space="preserve">optimal </w:t>
      </w:r>
      <w:r w:rsidR="002473B8">
        <w:t xml:space="preserve">collective </w:t>
      </w:r>
      <w:r w:rsidR="00C74803">
        <w:t>network</w:t>
      </w:r>
      <w:r w:rsidR="00A31781">
        <w:t>s’</w:t>
      </w:r>
      <w:r w:rsidR="00C74803">
        <w:t xml:space="preserve"> configuration </w:t>
      </w:r>
      <w:r w:rsidR="002473B8">
        <w:t xml:space="preserve">among the agencies operating monitors, </w:t>
      </w:r>
      <w:r w:rsidR="00C74803">
        <w:t xml:space="preserve">that </w:t>
      </w:r>
      <w:r w:rsidR="008E02C4">
        <w:t>include</w:t>
      </w:r>
      <w:r w:rsidR="00C74803">
        <w:t>:</w:t>
      </w:r>
    </w:p>
    <w:p w14:paraId="6352DEA4" w14:textId="30D4F0A8" w:rsidR="003B410E" w:rsidRDefault="00954D8E" w:rsidP="00ED7B2B">
      <w:pPr>
        <w:numPr>
          <w:ilvl w:val="1"/>
          <w:numId w:val="4"/>
        </w:numPr>
        <w:tabs>
          <w:tab w:val="clear" w:pos="1440"/>
        </w:tabs>
        <w:ind w:left="1620"/>
      </w:pPr>
      <w:r>
        <w:t>A</w:t>
      </w:r>
      <w:r w:rsidR="00F92629" w:rsidRPr="00BB3A33">
        <w:t>dd</w:t>
      </w:r>
      <w:r w:rsidR="00373ABF">
        <w:t>itional monitoring sites</w:t>
      </w:r>
      <w:r w:rsidR="0090626A">
        <w:t>,</w:t>
      </w:r>
      <w:r w:rsidR="00D86130">
        <w:t xml:space="preserve"> </w:t>
      </w:r>
    </w:p>
    <w:p w14:paraId="7D341909" w14:textId="74212C61" w:rsidR="003B410E" w:rsidRDefault="00766A5B" w:rsidP="00ED7B2B">
      <w:pPr>
        <w:numPr>
          <w:ilvl w:val="1"/>
          <w:numId w:val="4"/>
        </w:numPr>
        <w:tabs>
          <w:tab w:val="clear" w:pos="1440"/>
        </w:tabs>
        <w:ind w:left="1620"/>
      </w:pPr>
      <w:r>
        <w:t>Opportunities to r</w:t>
      </w:r>
      <w:r w:rsidR="005F505B">
        <w:t>emov</w:t>
      </w:r>
      <w:r>
        <w:t>e</w:t>
      </w:r>
      <w:r w:rsidR="005F505B">
        <w:t xml:space="preserve"> or re-locat</w:t>
      </w:r>
      <w:r>
        <w:t>e</w:t>
      </w:r>
      <w:r w:rsidR="005F505B">
        <w:t xml:space="preserve"> r</w:t>
      </w:r>
      <w:r w:rsidR="003B410E">
        <w:t>edundan</w:t>
      </w:r>
      <w:r w:rsidR="00A43EFE">
        <w:t>t</w:t>
      </w:r>
      <w:r w:rsidR="003B410E">
        <w:t xml:space="preserve"> monitors </w:t>
      </w:r>
      <w:r w:rsidR="00A43EFE">
        <w:t>to save money</w:t>
      </w:r>
      <w:r>
        <w:t xml:space="preserve"> where possible</w:t>
      </w:r>
      <w:r w:rsidR="0090626A">
        <w:t>,</w:t>
      </w:r>
    </w:p>
    <w:p w14:paraId="52B157D8" w14:textId="77777777" w:rsidR="003B410E" w:rsidRDefault="00954D8E" w:rsidP="00ED7B2B">
      <w:pPr>
        <w:numPr>
          <w:ilvl w:val="1"/>
          <w:numId w:val="4"/>
        </w:numPr>
        <w:tabs>
          <w:tab w:val="clear" w:pos="1440"/>
        </w:tabs>
        <w:ind w:left="1620"/>
      </w:pPr>
      <w:r>
        <w:t>M</w:t>
      </w:r>
      <w:r w:rsidR="00373ABF">
        <w:t xml:space="preserve">easurements of other pollutants or </w:t>
      </w:r>
      <w:r w:rsidR="003B410E">
        <w:t>AQRVs</w:t>
      </w:r>
      <w:r w:rsidR="00D86130">
        <w:t>; and</w:t>
      </w:r>
    </w:p>
    <w:p w14:paraId="7883D0C2" w14:textId="77777777" w:rsidR="008505DF" w:rsidRDefault="00954D8E" w:rsidP="00ED7B2B">
      <w:pPr>
        <w:numPr>
          <w:ilvl w:val="1"/>
          <w:numId w:val="4"/>
        </w:numPr>
        <w:tabs>
          <w:tab w:val="clear" w:pos="1440"/>
        </w:tabs>
        <w:ind w:left="1620"/>
      </w:pPr>
      <w:r>
        <w:t>I</w:t>
      </w:r>
      <w:r w:rsidR="00373ABF">
        <w:t>ncorporat</w:t>
      </w:r>
      <w:r w:rsidR="003B410E">
        <w:t>ion of new equipment or</w:t>
      </w:r>
      <w:r w:rsidR="00373ABF">
        <w:t xml:space="preserve"> new technologies</w:t>
      </w:r>
      <w:r w:rsidR="003B410E">
        <w:t>.</w:t>
      </w:r>
    </w:p>
    <w:p w14:paraId="73EC93C4" w14:textId="77777777" w:rsidR="008505DF" w:rsidRDefault="008505DF" w:rsidP="00373ABF">
      <w:pPr>
        <w:ind w:left="360"/>
      </w:pPr>
    </w:p>
    <w:p w14:paraId="55EDB89E" w14:textId="77777777" w:rsidR="00373ABF" w:rsidRDefault="00373ABF" w:rsidP="00373ABF">
      <w:pPr>
        <w:ind w:left="360"/>
      </w:pPr>
      <w:r>
        <w:t xml:space="preserve">The </w:t>
      </w:r>
      <w:r w:rsidR="008505DF">
        <w:t xml:space="preserve">approach of the </w:t>
      </w:r>
      <w:r w:rsidR="002473B8">
        <w:t xml:space="preserve">collective </w:t>
      </w:r>
      <w:r>
        <w:t>monitor</w:t>
      </w:r>
      <w:r w:rsidR="002473B8">
        <w:t>ing</w:t>
      </w:r>
      <w:r>
        <w:t xml:space="preserve"> network</w:t>
      </w:r>
      <w:r w:rsidR="00A31781">
        <w:t>s’</w:t>
      </w:r>
      <w:r>
        <w:t xml:space="preserve"> assessment </w:t>
      </w:r>
      <w:r w:rsidR="00D665F9">
        <w:t>will</w:t>
      </w:r>
      <w:r>
        <w:t xml:space="preserve"> also include:</w:t>
      </w:r>
    </w:p>
    <w:p w14:paraId="1BD06D54" w14:textId="77777777" w:rsidR="00B94626" w:rsidRDefault="00B94626" w:rsidP="00DE2D85">
      <w:pPr>
        <w:pStyle w:val="ListParagraph"/>
        <w:numPr>
          <w:ilvl w:val="0"/>
          <w:numId w:val="5"/>
        </w:numPr>
        <w:tabs>
          <w:tab w:val="clear" w:pos="1800"/>
        </w:tabs>
        <w:ind w:left="1080"/>
      </w:pPr>
      <w:r>
        <w:t>Review</w:t>
      </w:r>
      <w:r w:rsidR="00614C72">
        <w:t xml:space="preserve"> of</w:t>
      </w:r>
      <w:r>
        <w:t xml:space="preserve"> previous assessments for lessons learned and to build upon for new work.</w:t>
      </w:r>
    </w:p>
    <w:p w14:paraId="25FEE085" w14:textId="77777777" w:rsidR="00373ABF" w:rsidRDefault="00373ABF" w:rsidP="00DE2D85">
      <w:pPr>
        <w:pStyle w:val="ListParagraph"/>
        <w:numPr>
          <w:ilvl w:val="0"/>
          <w:numId w:val="5"/>
        </w:numPr>
        <w:tabs>
          <w:tab w:val="clear" w:pos="1800"/>
        </w:tabs>
        <w:ind w:left="1080"/>
      </w:pPr>
      <w:r>
        <w:t xml:space="preserve">Analyses of monitoring </w:t>
      </w:r>
      <w:r w:rsidR="002473B8">
        <w:t xml:space="preserve">programs’ goals and individual networks’ configurations </w:t>
      </w:r>
      <w:r>
        <w:t xml:space="preserve">to ensure they are </w:t>
      </w:r>
      <w:r w:rsidR="002473B8">
        <w:t>understood by and coordinated with the other</w:t>
      </w:r>
      <w:r>
        <w:t xml:space="preserve"> Cooperating Agencies</w:t>
      </w:r>
      <w:r w:rsidR="004338D9">
        <w:t>.</w:t>
      </w:r>
    </w:p>
    <w:p w14:paraId="3DF82037" w14:textId="77777777" w:rsidR="004338D9" w:rsidRDefault="00954D8E" w:rsidP="00DE2D85">
      <w:pPr>
        <w:pStyle w:val="ListParagraph"/>
        <w:numPr>
          <w:ilvl w:val="0"/>
          <w:numId w:val="5"/>
        </w:numPr>
        <w:tabs>
          <w:tab w:val="clear" w:pos="1800"/>
        </w:tabs>
        <w:ind w:left="1080"/>
      </w:pPr>
      <w:r>
        <w:t>Data g</w:t>
      </w:r>
      <w:r w:rsidR="004338D9">
        <w:t>athering that includes:</w:t>
      </w:r>
    </w:p>
    <w:p w14:paraId="72F8A5E9" w14:textId="064A5C6D" w:rsidR="004338D9" w:rsidRDefault="004338D9" w:rsidP="00ED7B2B">
      <w:pPr>
        <w:pStyle w:val="ListParagraph"/>
        <w:numPr>
          <w:ilvl w:val="1"/>
          <w:numId w:val="5"/>
        </w:numPr>
        <w:ind w:left="1620"/>
      </w:pPr>
      <w:r>
        <w:t>Complete list of monitoring sites, parameters measured, period of record, AQS monitoring objective (i.e., population oriented, source oriented, background), et</w:t>
      </w:r>
      <w:r w:rsidR="0090626A">
        <w:t xml:space="preserve"> </w:t>
      </w:r>
      <w:r>
        <w:t>c</w:t>
      </w:r>
      <w:r w:rsidR="0090626A">
        <w:t>etera,</w:t>
      </w:r>
    </w:p>
    <w:p w14:paraId="4801C3DF" w14:textId="6DC8694F" w:rsidR="004338D9" w:rsidRDefault="004338D9" w:rsidP="00ED7B2B">
      <w:pPr>
        <w:pStyle w:val="ListParagraph"/>
        <w:numPr>
          <w:ilvl w:val="1"/>
          <w:numId w:val="5"/>
        </w:numPr>
        <w:ind w:left="1620"/>
      </w:pPr>
      <w:r>
        <w:t xml:space="preserve">Trends analyses of annual and seasonal </w:t>
      </w:r>
      <w:r w:rsidR="00CF2565">
        <w:t>pollutants</w:t>
      </w:r>
      <w:r w:rsidR="00954D8E">
        <w:t xml:space="preserve"> at each monitoring site</w:t>
      </w:r>
      <w:r w:rsidR="0090626A">
        <w:t>,</w:t>
      </w:r>
    </w:p>
    <w:p w14:paraId="06C40EF8" w14:textId="77777777" w:rsidR="004338D9" w:rsidRDefault="004338D9" w:rsidP="00ED7B2B">
      <w:pPr>
        <w:pStyle w:val="ListParagraph"/>
        <w:numPr>
          <w:ilvl w:val="1"/>
          <w:numId w:val="5"/>
        </w:numPr>
        <w:ind w:left="1620"/>
      </w:pPr>
      <w:r>
        <w:t>Summaries of emissions by oil and gas basins for each state, area and mobile sources by county, major point sources with</w:t>
      </w:r>
      <w:r w:rsidR="00614C72">
        <w:t>in</w:t>
      </w:r>
      <w:r>
        <w:t xml:space="preserve"> each state</w:t>
      </w:r>
      <w:r w:rsidR="00954D8E">
        <w:t>; and</w:t>
      </w:r>
    </w:p>
    <w:p w14:paraId="2A7EE21D" w14:textId="77777777" w:rsidR="004338D9" w:rsidRDefault="004338D9" w:rsidP="00ED7B2B">
      <w:pPr>
        <w:pStyle w:val="ListParagraph"/>
        <w:numPr>
          <w:ilvl w:val="1"/>
          <w:numId w:val="5"/>
        </w:numPr>
        <w:ind w:left="1620"/>
      </w:pPr>
      <w:r>
        <w:t xml:space="preserve">Maps of monitoring sites, active oil and gas wells, major point sources, surface ownership, political boundaries, population density, seasonal wind </w:t>
      </w:r>
      <w:r w:rsidR="008E3BF9">
        <w:t xml:space="preserve">and temperature </w:t>
      </w:r>
      <w:r>
        <w:t>climatology</w:t>
      </w:r>
      <w:r w:rsidR="008E3BF9">
        <w:t xml:space="preserve"> and key episodic conditions (e.g., winter stagnation or cold pool events)</w:t>
      </w:r>
      <w:r w:rsidR="00954D8E">
        <w:t>.</w:t>
      </w:r>
    </w:p>
    <w:p w14:paraId="60B537D8" w14:textId="77777777" w:rsidR="008505DF" w:rsidRDefault="00373ABF" w:rsidP="00DE2D85">
      <w:pPr>
        <w:pStyle w:val="ListParagraph"/>
        <w:numPr>
          <w:ilvl w:val="0"/>
          <w:numId w:val="5"/>
        </w:numPr>
        <w:tabs>
          <w:tab w:val="clear" w:pos="1800"/>
        </w:tabs>
        <w:ind w:left="1080"/>
      </w:pPr>
      <w:r>
        <w:t>Literature review of new technologies</w:t>
      </w:r>
      <w:r w:rsidR="008505DF">
        <w:t xml:space="preserve"> that could be beneficial for the </w:t>
      </w:r>
      <w:r w:rsidR="008E3BF9">
        <w:t>study.</w:t>
      </w:r>
    </w:p>
    <w:p w14:paraId="232C33FC" w14:textId="77777777" w:rsidR="00BB3A33" w:rsidRDefault="00954D8E" w:rsidP="00DE2D85">
      <w:pPr>
        <w:pStyle w:val="ListParagraph"/>
        <w:numPr>
          <w:ilvl w:val="0"/>
          <w:numId w:val="5"/>
        </w:numPr>
        <w:tabs>
          <w:tab w:val="clear" w:pos="1800"/>
        </w:tabs>
        <w:ind w:left="1080"/>
      </w:pPr>
      <w:r>
        <w:t>Cost a</w:t>
      </w:r>
      <w:r w:rsidR="008E02C4">
        <w:t>nalyses to</w:t>
      </w:r>
      <w:r w:rsidR="002473B8">
        <w:t xml:space="preserve"> support decision-making among the Cooperating Agencies for</w:t>
      </w:r>
      <w:r w:rsidR="008505DF">
        <w:t>:</w:t>
      </w:r>
    </w:p>
    <w:p w14:paraId="71D30E34" w14:textId="3C7CDFE1" w:rsidR="00305870" w:rsidRPr="00BB3A33" w:rsidRDefault="00F92629" w:rsidP="00ED7B2B">
      <w:pPr>
        <w:numPr>
          <w:ilvl w:val="1"/>
          <w:numId w:val="6"/>
        </w:numPr>
        <w:tabs>
          <w:tab w:val="clear" w:pos="1440"/>
        </w:tabs>
        <w:ind w:left="1620"/>
      </w:pPr>
      <w:r w:rsidRPr="00BB3A33">
        <w:t>new monitoring sites</w:t>
      </w:r>
      <w:r w:rsidR="0090626A">
        <w:t>,</w:t>
      </w:r>
    </w:p>
    <w:p w14:paraId="48D4E1EB" w14:textId="1DA58F09" w:rsidR="00305870" w:rsidRPr="00BB3A33" w:rsidRDefault="00F92629" w:rsidP="00ED7B2B">
      <w:pPr>
        <w:numPr>
          <w:ilvl w:val="1"/>
          <w:numId w:val="6"/>
        </w:numPr>
        <w:tabs>
          <w:tab w:val="clear" w:pos="1440"/>
        </w:tabs>
        <w:ind w:left="1620"/>
      </w:pPr>
      <w:r w:rsidRPr="00BB3A33">
        <w:t>potential site removal</w:t>
      </w:r>
      <w:r w:rsidR="008E3BF9">
        <w:t xml:space="preserve"> or re-location</w:t>
      </w:r>
      <w:r w:rsidR="0090626A">
        <w:t>,</w:t>
      </w:r>
    </w:p>
    <w:p w14:paraId="29EBC61F" w14:textId="77777777" w:rsidR="00305870" w:rsidRPr="00BB3A33" w:rsidRDefault="008E3BF9" w:rsidP="00ED7B2B">
      <w:pPr>
        <w:numPr>
          <w:ilvl w:val="1"/>
          <w:numId w:val="6"/>
        </w:numPr>
        <w:tabs>
          <w:tab w:val="clear" w:pos="1440"/>
        </w:tabs>
        <w:ind w:left="1620"/>
      </w:pPr>
      <w:r>
        <w:t>f</w:t>
      </w:r>
      <w:r w:rsidR="00F92629" w:rsidRPr="00BB3A33">
        <w:t>unding need</w:t>
      </w:r>
      <w:r>
        <w:t xml:space="preserve">s and </w:t>
      </w:r>
      <w:r w:rsidR="00F92629" w:rsidRPr="00BB3A33">
        <w:t>sources;</w:t>
      </w:r>
      <w:r>
        <w:t xml:space="preserve"> and </w:t>
      </w:r>
    </w:p>
    <w:p w14:paraId="551C4D41" w14:textId="77777777" w:rsidR="00305870" w:rsidRPr="00BB3A33" w:rsidRDefault="00F92629" w:rsidP="00ED7B2B">
      <w:pPr>
        <w:numPr>
          <w:ilvl w:val="1"/>
          <w:numId w:val="6"/>
        </w:numPr>
        <w:tabs>
          <w:tab w:val="clear" w:pos="1440"/>
        </w:tabs>
        <w:ind w:left="1620"/>
      </w:pPr>
      <w:r w:rsidRPr="00BB3A33">
        <w:t>costs associated with current network</w:t>
      </w:r>
      <w:r w:rsidR="008505DF">
        <w:t>.</w:t>
      </w:r>
    </w:p>
    <w:p w14:paraId="39CCA715" w14:textId="77777777" w:rsidR="008505DF" w:rsidRDefault="008505DF" w:rsidP="0034317E">
      <w:pPr>
        <w:ind w:left="360"/>
      </w:pPr>
    </w:p>
    <w:p w14:paraId="7B329CC1" w14:textId="77777777" w:rsidR="00BB3A33" w:rsidRDefault="008505DF" w:rsidP="0034317E">
      <w:pPr>
        <w:ind w:left="360"/>
      </w:pPr>
      <w:r>
        <w:t>The de</w:t>
      </w:r>
      <w:r w:rsidR="00BB3A33">
        <w:t>liverables</w:t>
      </w:r>
      <w:r>
        <w:t xml:space="preserve"> of the monitoring network assessment </w:t>
      </w:r>
      <w:r w:rsidR="00D665F9">
        <w:t>will</w:t>
      </w:r>
      <w:r>
        <w:t xml:space="preserve"> include:</w:t>
      </w:r>
    </w:p>
    <w:p w14:paraId="5FB486EE" w14:textId="77777777" w:rsidR="008E3BF9" w:rsidRDefault="00A31781" w:rsidP="00DE2D85">
      <w:pPr>
        <w:pStyle w:val="ListParagraph"/>
        <w:numPr>
          <w:ilvl w:val="0"/>
          <w:numId w:val="7"/>
        </w:numPr>
        <w:ind w:left="1080"/>
      </w:pPr>
      <w:r>
        <w:t>An analysis p</w:t>
      </w:r>
      <w:r w:rsidR="008E3BF9">
        <w:t>rotocol outlining specific work objectives</w:t>
      </w:r>
      <w:r w:rsidR="001218E4">
        <w:t>, procedures,</w:t>
      </w:r>
      <w:r w:rsidR="008E3BF9">
        <w:t xml:space="preserve"> and activities, type</w:t>
      </w:r>
      <w:r>
        <w:t>s</w:t>
      </w:r>
      <w:r w:rsidR="008E3BF9">
        <w:t xml:space="preserve"> of assistance and information needed from the Cooperating Agencies, and timeframes.</w:t>
      </w:r>
    </w:p>
    <w:p w14:paraId="2BA94B2D" w14:textId="77777777" w:rsidR="008E3BF9" w:rsidRDefault="008E3BF9" w:rsidP="00DE2D85">
      <w:pPr>
        <w:pStyle w:val="ListParagraph"/>
        <w:numPr>
          <w:ilvl w:val="0"/>
          <w:numId w:val="7"/>
        </w:numPr>
        <w:ind w:left="1080"/>
      </w:pPr>
      <w:r>
        <w:t>Progress reports outlining completed and upcoming work, challenges, changes to the Protocol, and resources.</w:t>
      </w:r>
    </w:p>
    <w:p w14:paraId="18B5DAB6" w14:textId="77777777" w:rsidR="00E46059" w:rsidRDefault="008E3BF9" w:rsidP="00DE2D85">
      <w:pPr>
        <w:pStyle w:val="ListParagraph"/>
        <w:numPr>
          <w:ilvl w:val="0"/>
          <w:numId w:val="7"/>
        </w:numPr>
        <w:ind w:left="1080"/>
      </w:pPr>
      <w:r>
        <w:t xml:space="preserve">Monitoring Network Assessment Final Report that addresses the objectives of the evaluation and provides recommendations to the Cooperating Agencies.  </w:t>
      </w:r>
    </w:p>
    <w:p w14:paraId="13943809" w14:textId="77777777" w:rsidR="008E3BF9" w:rsidRPr="00D1109D" w:rsidRDefault="00E46059" w:rsidP="00DE2D85">
      <w:pPr>
        <w:pStyle w:val="ListParagraph"/>
        <w:numPr>
          <w:ilvl w:val="0"/>
          <w:numId w:val="7"/>
        </w:numPr>
        <w:ind w:left="1080"/>
      </w:pPr>
      <w:r w:rsidRPr="001B5A4C">
        <w:t xml:space="preserve">Transfer </w:t>
      </w:r>
      <w:r w:rsidR="00A43EFE" w:rsidRPr="00D1109D">
        <w:t xml:space="preserve">of </w:t>
      </w:r>
      <w:r w:rsidRPr="00D1109D">
        <w:t xml:space="preserve">all work products to </w:t>
      </w:r>
      <w:r w:rsidR="00274B06" w:rsidRPr="00D1109D">
        <w:t xml:space="preserve">the </w:t>
      </w:r>
      <w:r w:rsidRPr="00D1109D">
        <w:t>IWDW.</w:t>
      </w:r>
    </w:p>
    <w:p w14:paraId="3836626C" w14:textId="77777777" w:rsidR="00E46059" w:rsidRPr="00D1109D" w:rsidRDefault="00E46059" w:rsidP="00696B2C">
      <w:pPr>
        <w:pStyle w:val="ListParagraph"/>
        <w:ind w:left="360"/>
      </w:pPr>
      <w:bookmarkStart w:id="0" w:name="_Hlk521582514"/>
    </w:p>
    <w:p w14:paraId="196AA912" w14:textId="77777777" w:rsidR="003F5F98" w:rsidRDefault="00EF5BA3" w:rsidP="00FD32EF">
      <w:pPr>
        <w:pStyle w:val="ListParagraph"/>
        <w:numPr>
          <w:ilvl w:val="0"/>
          <w:numId w:val="1"/>
        </w:numPr>
      </w:pPr>
      <w:r w:rsidRPr="00D1109D">
        <w:t>General Air Quality Modeling</w:t>
      </w:r>
      <w:r>
        <w:t xml:space="preserve"> </w:t>
      </w:r>
      <w:r w:rsidR="00352F31">
        <w:t>Platform Configuration</w:t>
      </w:r>
    </w:p>
    <w:p w14:paraId="2BE4D73B" w14:textId="77777777" w:rsidR="00EF5BA3" w:rsidRDefault="00EF5BA3" w:rsidP="00EF5BA3">
      <w:pPr>
        <w:ind w:left="360"/>
      </w:pPr>
    </w:p>
    <w:p w14:paraId="1FCB4425" w14:textId="2AD95A52" w:rsidR="007D787B" w:rsidRDefault="007D787B" w:rsidP="007D787B">
      <w:pPr>
        <w:ind w:left="360"/>
      </w:pPr>
      <w:r>
        <w:t xml:space="preserve">The Cooperators </w:t>
      </w:r>
      <w:r w:rsidR="006F3D72">
        <w:t>should</w:t>
      </w:r>
      <w:r>
        <w:t xml:space="preserve"> make fundamental decisions about the air quality modeling platform to ensure that resources, such as time and funding, are available to complete the work needed for the upcoming air quality planning projects. This work plan recommends using existing, leveraged, and well-documented data resources and modeling results from EPA’s national modeling efforts, academia, and other sources to the greatest degree possible. </w:t>
      </w:r>
    </w:p>
    <w:p w14:paraId="174899AD" w14:textId="77777777" w:rsidR="007D787B" w:rsidRDefault="007D787B" w:rsidP="00B51D73">
      <w:pPr>
        <w:ind w:left="360"/>
      </w:pPr>
    </w:p>
    <w:p w14:paraId="0521B50C" w14:textId="09C4E83B" w:rsidR="00B51D73" w:rsidRDefault="00EF5BA3" w:rsidP="00B51D73">
      <w:pPr>
        <w:ind w:left="360"/>
      </w:pPr>
      <w:r>
        <w:t xml:space="preserve">Some configuration components </w:t>
      </w:r>
      <w:r w:rsidR="00352F31">
        <w:t>or options</w:t>
      </w:r>
      <w:r>
        <w:t xml:space="preserve"> are </w:t>
      </w:r>
      <w:r w:rsidR="008A50EA">
        <w:t xml:space="preserve">common and </w:t>
      </w:r>
      <w:r>
        <w:t>consistent</w:t>
      </w:r>
      <w:r w:rsidR="00630C3E">
        <w:t xml:space="preserve"> </w:t>
      </w:r>
      <w:r>
        <w:t>a</w:t>
      </w:r>
      <w:r w:rsidR="00352F31">
        <w:t>cross all the models that</w:t>
      </w:r>
      <w:r w:rsidR="005D5BC8">
        <w:t xml:space="preserve"> makeup the air quality modeling </w:t>
      </w:r>
      <w:r w:rsidR="00352F31">
        <w:t>platform</w:t>
      </w:r>
      <w:r w:rsidR="00D34FB7">
        <w:t xml:space="preserve"> (i.e., emissions, meteorology, and air quality models)</w:t>
      </w:r>
      <w:r>
        <w:t>.</w:t>
      </w:r>
      <w:r w:rsidR="00630C3E">
        <w:t xml:space="preserve"> </w:t>
      </w:r>
      <w:r w:rsidR="00D665F9">
        <w:t>In particular</w:t>
      </w:r>
      <w:r w:rsidR="00630C3E">
        <w:t xml:space="preserve">, </w:t>
      </w:r>
      <w:r w:rsidR="008A50EA">
        <w:t>the size and resolution of the model domain</w:t>
      </w:r>
      <w:r w:rsidR="0007649B">
        <w:t>s</w:t>
      </w:r>
      <w:r w:rsidR="00A86BC5">
        <w:t xml:space="preserve"> </w:t>
      </w:r>
      <w:r w:rsidR="00FF4A63">
        <w:t xml:space="preserve">and the calendar years for the emissions </w:t>
      </w:r>
      <w:r w:rsidR="008A50EA">
        <w:t xml:space="preserve">need to be determined </w:t>
      </w:r>
      <w:r w:rsidR="00D665F9">
        <w:t>for</w:t>
      </w:r>
      <w:r w:rsidR="008A50EA">
        <w:t xml:space="preserve"> the modeling </w:t>
      </w:r>
      <w:r w:rsidR="00606C02">
        <w:t>activities</w:t>
      </w:r>
      <w:r w:rsidR="008A50EA">
        <w:t>.</w:t>
      </w:r>
      <w:r w:rsidR="00971C2A">
        <w:t xml:space="preserve"> </w:t>
      </w:r>
      <w:r w:rsidR="00223DF0">
        <w:t xml:space="preserve">Execution of the </w:t>
      </w:r>
      <w:r w:rsidR="00D1109D">
        <w:t>activities outlined in the work plan</w:t>
      </w:r>
      <w:r w:rsidR="00223DF0">
        <w:t xml:space="preserve"> will be documented in various forms</w:t>
      </w:r>
      <w:r w:rsidR="00D1109D">
        <w:t>, including</w:t>
      </w:r>
      <w:r w:rsidR="00223DF0">
        <w:t xml:space="preserve"> study plans, protocols, and wiki pages.</w:t>
      </w:r>
    </w:p>
    <w:p w14:paraId="792B5330" w14:textId="77777777" w:rsidR="00B51D73" w:rsidRDefault="00B51D73" w:rsidP="00B51D73">
      <w:pPr>
        <w:ind w:left="360"/>
      </w:pPr>
    </w:p>
    <w:p w14:paraId="4437DF90" w14:textId="77F49D03" w:rsidR="001D7E9A" w:rsidRDefault="007D787B" w:rsidP="00AC7E15">
      <w:pPr>
        <w:ind w:left="360"/>
      </w:pPr>
      <w:r w:rsidRPr="007D787B">
        <w:t xml:space="preserve">Previous </w:t>
      </w:r>
      <w:r>
        <w:t xml:space="preserve">air quality modeling </w:t>
      </w:r>
      <w:r w:rsidRPr="007D787B">
        <w:t>work included 36/12/4 km model grid res</w:t>
      </w:r>
      <w:r>
        <w:t>olutions with intent that the 4-</w:t>
      </w:r>
      <w:r w:rsidRPr="007D787B">
        <w:t xml:space="preserve">km model domain would be utilized in future projects. </w:t>
      </w:r>
      <w:r>
        <w:t>With the expansion of the study to include additional states in the IWDW-WAQS region, t</w:t>
      </w:r>
      <w:r w:rsidRPr="007D787B">
        <w:t xml:space="preserve">he </w:t>
      </w:r>
      <w:r>
        <w:t>air quality m</w:t>
      </w:r>
      <w:r w:rsidRPr="007D787B">
        <w:t xml:space="preserve">odeling platform includes a large </w:t>
      </w:r>
      <w:r w:rsidRPr="007D787B">
        <w:lastRenderedPageBreak/>
        <w:t xml:space="preserve">model domain that </w:t>
      </w:r>
      <w:r>
        <w:t xml:space="preserve">will be computationally expensive to conduct at the typical </w:t>
      </w:r>
      <w:r w:rsidR="001D7E9A">
        <w:t>3</w:t>
      </w:r>
      <w:r>
        <w:t>6/12/4 km resolutions. Further, t</w:t>
      </w:r>
      <w:r w:rsidRPr="007D787B">
        <w:t xml:space="preserve">he Cooperators have found that finer grid resolutions, particularly the 4 km and 1.33 km grid resolutions, may not always equate to better model performance in all areas and in some </w:t>
      </w:r>
      <w:r w:rsidR="006F3D72" w:rsidRPr="007D787B">
        <w:t>cases,</w:t>
      </w:r>
      <w:r w:rsidRPr="007D787B">
        <w:t xml:space="preserve"> degrade the model performance. </w:t>
      </w:r>
    </w:p>
    <w:p w14:paraId="65B840B5" w14:textId="77777777" w:rsidR="001D7E9A" w:rsidRDefault="001D7E9A" w:rsidP="00AC7E15">
      <w:pPr>
        <w:ind w:left="360"/>
      </w:pPr>
    </w:p>
    <w:p w14:paraId="74348A3A" w14:textId="7C38FF39" w:rsidR="00223DF0" w:rsidRDefault="007D787B" w:rsidP="001D7E9A">
      <w:pPr>
        <w:ind w:left="360"/>
      </w:pPr>
      <w:r w:rsidRPr="007D787B">
        <w:t xml:space="preserve">Given the </w:t>
      </w:r>
      <w:r w:rsidR="004C7B73">
        <w:t xml:space="preserve">existing IWDW-WAQS funding and </w:t>
      </w:r>
      <w:r w:rsidRPr="007D787B">
        <w:t>uncertainty in future funding</w:t>
      </w:r>
      <w:r w:rsidR="000542F8">
        <w:t>, the e</w:t>
      </w:r>
      <w:r w:rsidR="00223DF0">
        <w:t xml:space="preserve">missions, meteorology, and air quality modeling </w:t>
      </w:r>
      <w:r w:rsidR="009D5BF8">
        <w:t xml:space="preserve">described </w:t>
      </w:r>
      <w:r w:rsidR="000542F8">
        <w:t xml:space="preserve">in this work plan </w:t>
      </w:r>
      <w:r w:rsidR="00223DF0">
        <w:t xml:space="preserve">will be </w:t>
      </w:r>
      <w:r w:rsidR="001D7E9A">
        <w:t>completed</w:t>
      </w:r>
      <w:r w:rsidR="000542F8">
        <w:t xml:space="preserve"> using a</w:t>
      </w:r>
      <w:r w:rsidR="00223DF0">
        <w:t xml:space="preserve"> 12</w:t>
      </w:r>
      <w:r w:rsidR="000542F8">
        <w:t>-</w:t>
      </w:r>
      <w:r w:rsidR="00223DF0">
        <w:t>km grid</w:t>
      </w:r>
      <w:r w:rsidR="00701FDC">
        <w:t xml:space="preserve"> resolution</w:t>
      </w:r>
      <w:r w:rsidR="00223DF0">
        <w:t xml:space="preserve"> nested into a</w:t>
      </w:r>
      <w:r w:rsidR="00701FDC">
        <w:t xml:space="preserve"> 36</w:t>
      </w:r>
      <w:r w:rsidR="000542F8">
        <w:t>-</w:t>
      </w:r>
      <w:r w:rsidR="00701FDC">
        <w:t>km North American grid</w:t>
      </w:r>
      <w:r w:rsidR="000542F8">
        <w:t xml:space="preserve">. The modeling will also be performed </w:t>
      </w:r>
      <w:r w:rsidR="00701FDC">
        <w:t>with 2-way processing, using global modeling fluxes as boundary conditions for the 36</w:t>
      </w:r>
      <w:r w:rsidR="000542F8">
        <w:t>-</w:t>
      </w:r>
      <w:r w:rsidR="00701FDC">
        <w:t>km grid.</w:t>
      </w:r>
      <w:r w:rsidR="000542F8">
        <w:t xml:space="preserve"> </w:t>
      </w:r>
      <w:r w:rsidR="00701FDC">
        <w:t xml:space="preserve">This </w:t>
      </w:r>
      <w:r w:rsidR="000542F8">
        <w:t>means</w:t>
      </w:r>
      <w:r w:rsidR="00701FDC">
        <w:t xml:space="preserve"> that all base-year and future-year processing at a higher resolution in the IWDW-WAQS region, such as a 4</w:t>
      </w:r>
      <w:r w:rsidR="000542F8">
        <w:t>-</w:t>
      </w:r>
      <w:r w:rsidR="00701FDC">
        <w:t xml:space="preserve">km nested grid, will be </w:t>
      </w:r>
      <w:r w:rsidR="000542F8">
        <w:t xml:space="preserve">completed </w:t>
      </w:r>
      <w:r w:rsidR="00701FDC">
        <w:t>separately</w:t>
      </w:r>
      <w:r w:rsidR="000542F8">
        <w:t xml:space="preserve"> and on an as-needed basis</w:t>
      </w:r>
      <w:r w:rsidR="00701FDC">
        <w:t>, after the 36/12</w:t>
      </w:r>
      <w:r w:rsidR="000542F8">
        <w:t xml:space="preserve"> km modeling</w:t>
      </w:r>
      <w:r w:rsidR="00701FDC">
        <w:t xml:space="preserve"> studies are processed and fully evaluated</w:t>
      </w:r>
      <w:r w:rsidR="000542F8">
        <w:t xml:space="preserve"> by the Cooperators</w:t>
      </w:r>
      <w:r w:rsidR="00701FDC">
        <w:t>.</w:t>
      </w:r>
      <w:r w:rsidR="004A5115">
        <w:t xml:space="preserve"> Additional details about the model resolutions are provided in section XIII.</w:t>
      </w:r>
      <w:r w:rsidR="00223DF0">
        <w:t xml:space="preserve">  </w:t>
      </w:r>
    </w:p>
    <w:p w14:paraId="26EDFB5A" w14:textId="77777777" w:rsidR="00223DF0" w:rsidRDefault="00223DF0" w:rsidP="00C64D3F">
      <w:pPr>
        <w:ind w:left="360"/>
      </w:pPr>
    </w:p>
    <w:p w14:paraId="5A537448" w14:textId="490D530C" w:rsidR="00B51D73" w:rsidRDefault="00C64D3F" w:rsidP="00821CD3">
      <w:pPr>
        <w:ind w:left="360"/>
      </w:pPr>
      <w:r>
        <w:t>The general objectives, approach, and deliverables associated with the</w:t>
      </w:r>
      <w:r w:rsidR="00FF4A63">
        <w:t xml:space="preserve"> work for the</w:t>
      </w:r>
      <w:r>
        <w:t xml:space="preserve"> model domain</w:t>
      </w:r>
      <w:r w:rsidR="00FD6CC6">
        <w:t>s</w:t>
      </w:r>
      <w:r>
        <w:t xml:space="preserve"> and </w:t>
      </w:r>
      <w:r w:rsidR="00FD6CC6">
        <w:t xml:space="preserve">the </w:t>
      </w:r>
      <w:r w:rsidR="00FF4A63">
        <w:t xml:space="preserve">emissions linked to the </w:t>
      </w:r>
      <w:r w:rsidR="00EF68AD">
        <w:t>recent</w:t>
      </w:r>
      <w:r w:rsidR="002402DC">
        <w:t xml:space="preserve"> </w:t>
      </w:r>
      <w:r w:rsidR="00123F81">
        <w:t>NEI base</w:t>
      </w:r>
      <w:r w:rsidR="00FF4A63">
        <w:t xml:space="preserve"> year</w:t>
      </w:r>
      <w:r w:rsidR="00607E1A">
        <w:t xml:space="preserve"> </w:t>
      </w:r>
      <w:r w:rsidR="00FF4A63">
        <w:t>are discussed in the subsequent sections.</w:t>
      </w:r>
      <w:r w:rsidR="002402DC">
        <w:t xml:space="preserve"> </w:t>
      </w:r>
      <w:r w:rsidR="0047044A">
        <w:t>Additional tasks related to other base</w:t>
      </w:r>
      <w:r w:rsidR="00B51D73" w:rsidRPr="004500D0">
        <w:t xml:space="preserve"> </w:t>
      </w:r>
      <w:r w:rsidR="0047044A">
        <w:t xml:space="preserve">and future model years </w:t>
      </w:r>
      <w:r w:rsidR="001C1666">
        <w:t xml:space="preserve">for </w:t>
      </w:r>
      <w:r w:rsidR="00FD6CC6">
        <w:t>NEPA</w:t>
      </w:r>
      <w:r w:rsidR="001C1666">
        <w:t xml:space="preserve"> projects </w:t>
      </w:r>
      <w:r w:rsidR="0047044A">
        <w:t xml:space="preserve">are discussed in </w:t>
      </w:r>
      <w:r w:rsidR="002737F3">
        <w:t>A</w:t>
      </w:r>
      <w:r w:rsidR="0047044A">
        <w:t>ppendix A.</w:t>
      </w:r>
      <w:r w:rsidR="00DF7AE4">
        <w:t xml:space="preserve"> These tasks will be re</w:t>
      </w:r>
      <w:r w:rsidR="00F63B7D">
        <w:t>-</w:t>
      </w:r>
      <w:r w:rsidR="00DF7AE4">
        <w:t>visited</w:t>
      </w:r>
      <w:r>
        <w:t xml:space="preserve"> throughout this work plan cycle</w:t>
      </w:r>
      <w:r w:rsidR="00DF7AE4">
        <w:t xml:space="preserve"> to assess the needs, timing, and resources.</w:t>
      </w:r>
    </w:p>
    <w:bookmarkEnd w:id="0"/>
    <w:p w14:paraId="4EA0DD80" w14:textId="77777777" w:rsidR="008A673D" w:rsidRPr="00E403E7" w:rsidRDefault="008A673D" w:rsidP="000C7767"/>
    <w:p w14:paraId="0C5E4E32" w14:textId="77777777" w:rsidR="009D0459" w:rsidRPr="00E403E7" w:rsidRDefault="009D0459" w:rsidP="006826D7">
      <w:pPr>
        <w:pStyle w:val="ListParagraph"/>
        <w:numPr>
          <w:ilvl w:val="0"/>
          <w:numId w:val="1"/>
        </w:numPr>
      </w:pPr>
      <w:r w:rsidRPr="00E403E7">
        <w:t>Emissions Inventories</w:t>
      </w:r>
      <w:r w:rsidR="009F1094" w:rsidRPr="00E403E7">
        <w:t xml:space="preserve"> </w:t>
      </w:r>
    </w:p>
    <w:p w14:paraId="18EA8DB6" w14:textId="77777777" w:rsidR="0034317E" w:rsidRPr="00E403E7" w:rsidRDefault="0034317E" w:rsidP="0034317E"/>
    <w:p w14:paraId="794B45C5" w14:textId="42B697E7" w:rsidR="00C67432" w:rsidRDefault="0034317E" w:rsidP="00C67432">
      <w:pPr>
        <w:ind w:left="360"/>
      </w:pPr>
      <w:r w:rsidRPr="00E403E7">
        <w:t>The</w:t>
      </w:r>
      <w:r w:rsidR="00A31781" w:rsidRPr="00E403E7">
        <w:t xml:space="preserve"> Cooperating Agencies will facilitate and support the data collection and analysis to </w:t>
      </w:r>
      <w:r w:rsidR="0071596F" w:rsidRPr="00E403E7">
        <w:t xml:space="preserve">jointly have the WAQS modeling </w:t>
      </w:r>
      <w:r w:rsidR="0071596F">
        <w:t xml:space="preserve">contractor and IWDW support team </w:t>
      </w:r>
      <w:r w:rsidRPr="00181630">
        <w:t xml:space="preserve">develop a complete set of base year </w:t>
      </w:r>
      <w:r w:rsidR="00ED086E">
        <w:t xml:space="preserve">emissions </w:t>
      </w:r>
      <w:r w:rsidR="006C1BF1">
        <w:t xml:space="preserve">that </w:t>
      </w:r>
      <w:r w:rsidRPr="00181630">
        <w:t>correspond</w:t>
      </w:r>
      <w:r w:rsidR="006C1BF1">
        <w:t>s</w:t>
      </w:r>
      <w:r w:rsidRPr="00181630">
        <w:t xml:space="preserve"> to </w:t>
      </w:r>
      <w:r w:rsidR="006B32E8">
        <w:t xml:space="preserve">the </w:t>
      </w:r>
      <w:r w:rsidR="00123F81">
        <w:t xml:space="preserve">NEI year selected by the Cooperators. </w:t>
      </w:r>
      <w:r w:rsidR="00083D2F">
        <w:t xml:space="preserve">The </w:t>
      </w:r>
      <w:r w:rsidR="00852FDB">
        <w:t>resul</w:t>
      </w:r>
      <w:r w:rsidR="00B660F1">
        <w:t>ti</w:t>
      </w:r>
      <w:r w:rsidR="00852FDB">
        <w:t xml:space="preserve">ng </w:t>
      </w:r>
      <w:r w:rsidR="00083D2F">
        <w:t xml:space="preserve">emissions </w:t>
      </w:r>
      <w:r w:rsidR="00B660F1">
        <w:t xml:space="preserve">inventory </w:t>
      </w:r>
      <w:r w:rsidR="00852FDB">
        <w:t>files will be prov</w:t>
      </w:r>
      <w:r w:rsidR="00B660F1">
        <w:t>i</w:t>
      </w:r>
      <w:r w:rsidR="00852FDB">
        <w:t>ded to</w:t>
      </w:r>
      <w:r w:rsidR="00B660F1">
        <w:t xml:space="preserve"> </w:t>
      </w:r>
      <w:r w:rsidR="00852FDB">
        <w:t xml:space="preserve">the </w:t>
      </w:r>
      <w:r w:rsidR="00083D2F">
        <w:t>IWDW-</w:t>
      </w:r>
      <w:r w:rsidR="00852FDB">
        <w:t>WAQS modeling contractor</w:t>
      </w:r>
      <w:r w:rsidR="00083D2F">
        <w:t xml:space="preserve"> and used</w:t>
      </w:r>
      <w:r w:rsidR="00852FDB">
        <w:t xml:space="preserve"> as the base inve</w:t>
      </w:r>
      <w:r w:rsidR="00B660F1">
        <w:t>n</w:t>
      </w:r>
      <w:r w:rsidR="00852FDB">
        <w:t>tor</w:t>
      </w:r>
      <w:r w:rsidR="00B660F1">
        <w:t>y</w:t>
      </w:r>
      <w:r w:rsidR="00852FDB">
        <w:t xml:space="preserve"> for emis</w:t>
      </w:r>
      <w:r w:rsidR="00B660F1">
        <w:t>s</w:t>
      </w:r>
      <w:r w:rsidR="00852FDB">
        <w:t xml:space="preserve">ions </w:t>
      </w:r>
      <w:r w:rsidR="00B660F1">
        <w:t xml:space="preserve">and subsequent air quality </w:t>
      </w:r>
      <w:r w:rsidR="00852FDB">
        <w:t>modeling.</w:t>
      </w:r>
      <w:r w:rsidR="00083D2F">
        <w:t xml:space="preserve"> </w:t>
      </w:r>
      <w:r w:rsidR="00852FDB">
        <w:t>F</w:t>
      </w:r>
      <w:r w:rsidR="00083D2F">
        <w:t xml:space="preserve">uture </w:t>
      </w:r>
      <w:r w:rsidR="00216AB6">
        <w:t xml:space="preserve">year emissions </w:t>
      </w:r>
      <w:r w:rsidR="006C1BF1">
        <w:t>inventor</w:t>
      </w:r>
      <w:r w:rsidR="001360D7">
        <w:t>ies</w:t>
      </w:r>
      <w:r w:rsidR="0071596F">
        <w:t xml:space="preserve"> associated with air quality planning milestones required by the </w:t>
      </w:r>
      <w:r w:rsidR="003E4C89">
        <w:t>CAA</w:t>
      </w:r>
      <w:r w:rsidR="0071596F">
        <w:t xml:space="preserve"> and NEPA</w:t>
      </w:r>
      <w:r w:rsidR="00852FDB">
        <w:t xml:space="preserve">, including Regional Haze planning, are </w:t>
      </w:r>
      <w:r w:rsidR="00B660F1">
        <w:t xml:space="preserve">to be provided through the WRAP effort by the WRAP Oil &amp; Gas Work Group (OGWG), Fire &amp; Smoke Work Group (FSWG), and western states for various key emissions sectors, and processed by the </w:t>
      </w:r>
      <w:r w:rsidR="00083D2F">
        <w:t>IWDW-</w:t>
      </w:r>
      <w:r w:rsidR="00B660F1">
        <w:t>WAQS modeling contractor.</w:t>
      </w:r>
      <w:r w:rsidR="00083D2F">
        <w:t xml:space="preserve"> </w:t>
      </w:r>
      <w:r w:rsidR="00A904E2">
        <w:t>The</w:t>
      </w:r>
      <w:r w:rsidR="0071596F">
        <w:t>se</w:t>
      </w:r>
      <w:r w:rsidR="00A904E2">
        <w:t xml:space="preserve"> </w:t>
      </w:r>
      <w:r w:rsidRPr="00181630">
        <w:t>future year emissions inventor</w:t>
      </w:r>
      <w:r w:rsidR="0071596F">
        <w:t>ies</w:t>
      </w:r>
      <w:r w:rsidRPr="00181630">
        <w:t xml:space="preserve"> </w:t>
      </w:r>
      <w:r w:rsidR="00A904E2">
        <w:t>will</w:t>
      </w:r>
      <w:r w:rsidRPr="00181630">
        <w:t xml:space="preserve"> include projected future emissions changes relative to the base year inventory</w:t>
      </w:r>
      <w:r w:rsidR="006C1BF1">
        <w:t xml:space="preserve">, </w:t>
      </w:r>
      <w:r w:rsidR="00085372">
        <w:t>including</w:t>
      </w:r>
      <w:r w:rsidRPr="00181630">
        <w:t xml:space="preserve"> a “</w:t>
      </w:r>
      <w:r w:rsidR="0071596F">
        <w:t>rules-on-the-books/</w:t>
      </w:r>
      <w:r w:rsidRPr="00181630">
        <w:t xml:space="preserve">no action” </w:t>
      </w:r>
      <w:r w:rsidR="00A904E2">
        <w:t>case</w:t>
      </w:r>
      <w:r w:rsidRPr="00181630">
        <w:t xml:space="preserve"> that can be used as a basis for evaluating effects of proposed development projects</w:t>
      </w:r>
      <w:r w:rsidR="0071596F">
        <w:t xml:space="preserve"> in NEPA studies and other air quality management </w:t>
      </w:r>
      <w:r w:rsidR="00C67432">
        <w:t>projects</w:t>
      </w:r>
      <w:r w:rsidR="0071596F">
        <w:t xml:space="preserve"> under the CAA</w:t>
      </w:r>
      <w:r w:rsidRPr="00181630">
        <w:t xml:space="preserve">. </w:t>
      </w:r>
      <w:r w:rsidR="00B660F1">
        <w:t xml:space="preserve">Projections will also be made for the purposes of source apportionment and sensitivity studies. </w:t>
      </w:r>
      <w:r w:rsidR="006C1BF1">
        <w:t xml:space="preserve">The future </w:t>
      </w:r>
      <w:r w:rsidR="0071596F">
        <w:t xml:space="preserve">projection </w:t>
      </w:r>
      <w:r w:rsidR="006C1BF1">
        <w:t>year</w:t>
      </w:r>
      <w:r w:rsidR="0071596F">
        <w:t>s</w:t>
      </w:r>
      <w:r w:rsidR="006C1BF1">
        <w:t xml:space="preserve"> will be </w:t>
      </w:r>
      <w:r w:rsidR="00C67432">
        <w:t xml:space="preserve">determined </w:t>
      </w:r>
      <w:r w:rsidR="0071596F">
        <w:t>in the modeling</w:t>
      </w:r>
      <w:r w:rsidR="00C67432">
        <w:t xml:space="preserve"> </w:t>
      </w:r>
      <w:r w:rsidR="0071596F">
        <w:t xml:space="preserve">protocol and </w:t>
      </w:r>
      <w:r w:rsidR="00C67432">
        <w:t>reviewed and endorsed</w:t>
      </w:r>
      <w:r w:rsidR="006C1BF1">
        <w:t xml:space="preserve"> by the Cooperating Agencies based on the needs of upcoming air quality planning projects.</w:t>
      </w:r>
    </w:p>
    <w:p w14:paraId="57C0A1C8" w14:textId="77777777" w:rsidR="00C67432" w:rsidRDefault="00C67432" w:rsidP="00C67432">
      <w:pPr>
        <w:ind w:left="360"/>
      </w:pPr>
    </w:p>
    <w:p w14:paraId="140B6261" w14:textId="77777777" w:rsidR="00B25E7F" w:rsidRPr="00181630" w:rsidRDefault="001218E4" w:rsidP="00C67432">
      <w:pPr>
        <w:ind w:left="360"/>
      </w:pPr>
      <w:r>
        <w:t>The general objectives of the emissions inventories work</w:t>
      </w:r>
      <w:r w:rsidR="00C67432">
        <w:t xml:space="preserve"> include:</w:t>
      </w:r>
    </w:p>
    <w:p w14:paraId="13C9EC39" w14:textId="5CAAC803" w:rsidR="001218E4" w:rsidRDefault="001B5A4C" w:rsidP="00C67432">
      <w:pPr>
        <w:numPr>
          <w:ilvl w:val="0"/>
          <w:numId w:val="9"/>
        </w:numPr>
        <w:tabs>
          <w:tab w:val="clear" w:pos="2160"/>
        </w:tabs>
        <w:ind w:left="1080"/>
      </w:pPr>
      <w:r>
        <w:t>D</w:t>
      </w:r>
      <w:r w:rsidR="001218E4">
        <w:t>evelop</w:t>
      </w:r>
      <w:r w:rsidR="002D45B6">
        <w:t>ment of</w:t>
      </w:r>
      <w:r w:rsidR="001218E4">
        <w:t xml:space="preserve"> a complete set of base year emissions inventories</w:t>
      </w:r>
      <w:r w:rsidR="00223247">
        <w:t xml:space="preserve"> for </w:t>
      </w:r>
      <w:r w:rsidR="00123F81">
        <w:t xml:space="preserve">the </w:t>
      </w:r>
      <w:r w:rsidR="002402DC">
        <w:t xml:space="preserve">selected </w:t>
      </w:r>
      <w:r w:rsidR="00123F81">
        <w:t xml:space="preserve">NEI </w:t>
      </w:r>
      <w:r w:rsidR="00223247">
        <w:t>calendar year</w:t>
      </w:r>
      <w:r>
        <w:t>; and</w:t>
      </w:r>
    </w:p>
    <w:p w14:paraId="4477F709" w14:textId="1EC80737" w:rsidR="001218E4" w:rsidRDefault="001B5A4C" w:rsidP="00C67432">
      <w:pPr>
        <w:numPr>
          <w:ilvl w:val="0"/>
          <w:numId w:val="9"/>
        </w:numPr>
        <w:tabs>
          <w:tab w:val="clear" w:pos="2160"/>
        </w:tabs>
        <w:ind w:left="1080"/>
      </w:pPr>
      <w:r>
        <w:t>D</w:t>
      </w:r>
      <w:r w:rsidR="001218E4">
        <w:t>evelop</w:t>
      </w:r>
      <w:r w:rsidR="002D45B6">
        <w:t>ment of</w:t>
      </w:r>
      <w:r w:rsidR="001218E4">
        <w:t xml:space="preserve"> a complete set of future year emissions inventories</w:t>
      </w:r>
      <w:r w:rsidR="00223247">
        <w:t xml:space="preserve"> </w:t>
      </w:r>
      <w:r w:rsidR="00123F81">
        <w:t>projected from the</w:t>
      </w:r>
      <w:r w:rsidR="002402DC">
        <w:t xml:space="preserve"> selected</w:t>
      </w:r>
      <w:r w:rsidR="00123F81">
        <w:t xml:space="preserve"> NEI </w:t>
      </w:r>
      <w:r w:rsidR="00223247">
        <w:t>calendar year</w:t>
      </w:r>
      <w:r w:rsidR="00123F81">
        <w:t>.</w:t>
      </w:r>
      <w:r w:rsidR="001218E4">
        <w:t xml:space="preserve"> </w:t>
      </w:r>
    </w:p>
    <w:p w14:paraId="494CF42D" w14:textId="77777777" w:rsidR="001218E4" w:rsidRDefault="001218E4" w:rsidP="001218E4">
      <w:pPr>
        <w:ind w:left="1080"/>
      </w:pPr>
    </w:p>
    <w:p w14:paraId="28404F5F" w14:textId="77777777" w:rsidR="001218E4" w:rsidRDefault="001218E4" w:rsidP="00C67432">
      <w:pPr>
        <w:ind w:left="360"/>
      </w:pPr>
      <w:r>
        <w:t xml:space="preserve">The approach </w:t>
      </w:r>
      <w:r w:rsidR="002D45B6">
        <w:t>for developing the emissions inventories</w:t>
      </w:r>
      <w:r>
        <w:t xml:space="preserve"> include</w:t>
      </w:r>
      <w:r w:rsidR="0009545E">
        <w:t>s</w:t>
      </w:r>
      <w:r>
        <w:t>:</w:t>
      </w:r>
    </w:p>
    <w:p w14:paraId="4631AE00" w14:textId="77777777" w:rsidR="00C67432" w:rsidRDefault="00C77520" w:rsidP="00C67432">
      <w:pPr>
        <w:pStyle w:val="ListParagraph"/>
        <w:numPr>
          <w:ilvl w:val="0"/>
          <w:numId w:val="10"/>
        </w:numPr>
        <w:ind w:left="1080"/>
      </w:pPr>
      <w:r>
        <w:t>A r</w:t>
      </w:r>
      <w:r w:rsidR="00B94626">
        <w:t>eview</w:t>
      </w:r>
      <w:r w:rsidR="001360D7">
        <w:t xml:space="preserve"> of</w:t>
      </w:r>
      <w:r w:rsidR="00B94626">
        <w:t xml:space="preserve"> previous emissions </w:t>
      </w:r>
      <w:r>
        <w:t xml:space="preserve">inventory </w:t>
      </w:r>
      <w:r w:rsidR="00B94626">
        <w:t>work for lessons learned and to build upon for new work.</w:t>
      </w:r>
    </w:p>
    <w:p w14:paraId="7AED2291" w14:textId="375F4FCA" w:rsidR="00C67432" w:rsidRDefault="00C67432" w:rsidP="00C67432">
      <w:pPr>
        <w:pStyle w:val="ListParagraph"/>
        <w:numPr>
          <w:ilvl w:val="0"/>
          <w:numId w:val="10"/>
        </w:numPr>
        <w:ind w:left="1080"/>
      </w:pPr>
      <w:r>
        <w:lastRenderedPageBreak/>
        <w:t>P</w:t>
      </w:r>
      <w:r w:rsidR="0071596F">
        <w:t>repar</w:t>
      </w:r>
      <w:r>
        <w:t>ation, distribution, and evaluation of</w:t>
      </w:r>
      <w:r w:rsidR="0071596F">
        <w:t xml:space="preserve"> responses to a n</w:t>
      </w:r>
      <w:r w:rsidR="00AE7887">
        <w:t xml:space="preserve">ew </w:t>
      </w:r>
      <w:r w:rsidR="0071596F">
        <w:t xml:space="preserve">round of </w:t>
      </w:r>
      <w:r w:rsidR="00AE7887">
        <w:t>o</w:t>
      </w:r>
      <w:r w:rsidR="00A43EFE">
        <w:t>il and g</w:t>
      </w:r>
      <w:r w:rsidR="002D45B6" w:rsidRPr="000A3017">
        <w:t xml:space="preserve">as </w:t>
      </w:r>
      <w:r w:rsidR="0071596F">
        <w:t xml:space="preserve">basin </w:t>
      </w:r>
      <w:r w:rsidR="002D45B6" w:rsidRPr="000A3017">
        <w:t xml:space="preserve">surveys </w:t>
      </w:r>
      <w:r w:rsidR="0071596F">
        <w:t xml:space="preserve">for equipment and operational practices </w:t>
      </w:r>
      <w:r w:rsidR="00AE7887">
        <w:t>to</w:t>
      </w:r>
      <w:r w:rsidR="001360D7" w:rsidRPr="000A3017">
        <w:t xml:space="preserve"> </w:t>
      </w:r>
      <w:r w:rsidR="002D45B6" w:rsidRPr="000A3017">
        <w:t xml:space="preserve">accurately characterize oil and gas sources </w:t>
      </w:r>
      <w:r w:rsidR="00AE7887">
        <w:t>and emissions</w:t>
      </w:r>
      <w:r w:rsidR="00C94380">
        <w:t xml:space="preserve"> </w:t>
      </w:r>
      <w:r w:rsidR="002D45B6" w:rsidRPr="000A3017">
        <w:t>in the study area.</w:t>
      </w:r>
    </w:p>
    <w:p w14:paraId="76541C71" w14:textId="77777777" w:rsidR="00C67432" w:rsidRDefault="002D45B6" w:rsidP="00C67432">
      <w:pPr>
        <w:pStyle w:val="ListParagraph"/>
        <w:numPr>
          <w:ilvl w:val="0"/>
          <w:numId w:val="10"/>
        </w:numPr>
        <w:ind w:left="1080"/>
      </w:pPr>
      <w:r w:rsidRPr="000A3017">
        <w:t>E</w:t>
      </w:r>
      <w:r w:rsidR="009F1094">
        <w:t>valuat</w:t>
      </w:r>
      <w:r w:rsidR="00C3271C">
        <w:t>ion</w:t>
      </w:r>
      <w:r w:rsidR="009F1094">
        <w:t xml:space="preserve"> and use</w:t>
      </w:r>
      <w:r w:rsidRPr="000A3017">
        <w:t xml:space="preserve"> </w:t>
      </w:r>
      <w:r w:rsidR="00C3271C">
        <w:t xml:space="preserve">of </w:t>
      </w:r>
      <w:r w:rsidRPr="000A3017">
        <w:t>the latest version of EPA’s NEI and western air agency inputs to calculate emissions for the following source categories:</w:t>
      </w:r>
    </w:p>
    <w:p w14:paraId="13D4205A" w14:textId="77777777" w:rsidR="00C67432" w:rsidRPr="000A3017" w:rsidRDefault="00C67432" w:rsidP="006117D3">
      <w:pPr>
        <w:pStyle w:val="ListParagraph"/>
        <w:numPr>
          <w:ilvl w:val="0"/>
          <w:numId w:val="30"/>
        </w:numPr>
        <w:ind w:left="1800"/>
      </w:pPr>
      <w:r w:rsidRPr="000A3017">
        <w:t>Point (permitted or registered)</w:t>
      </w:r>
    </w:p>
    <w:p w14:paraId="4BE9D591" w14:textId="77777777" w:rsidR="00C67432" w:rsidRPr="000A3017" w:rsidRDefault="00C67432" w:rsidP="006117D3">
      <w:pPr>
        <w:pStyle w:val="ListParagraph"/>
        <w:numPr>
          <w:ilvl w:val="0"/>
          <w:numId w:val="30"/>
        </w:numPr>
        <w:ind w:left="1800"/>
      </w:pPr>
      <w:r w:rsidRPr="000A3017">
        <w:t>Non-Point</w:t>
      </w:r>
    </w:p>
    <w:p w14:paraId="64B2F058" w14:textId="418B93E7" w:rsidR="00C67432" w:rsidRPr="000A3017" w:rsidRDefault="00C67432" w:rsidP="006117D3">
      <w:pPr>
        <w:pStyle w:val="ListParagraph"/>
        <w:numPr>
          <w:ilvl w:val="0"/>
          <w:numId w:val="30"/>
        </w:numPr>
        <w:ind w:left="1800"/>
      </w:pPr>
      <w:r w:rsidRPr="000A3017">
        <w:t>Mobile</w:t>
      </w:r>
      <w:r w:rsidR="00307196">
        <w:t xml:space="preserve"> (onroad and nonroad)</w:t>
      </w:r>
      <w:r w:rsidRPr="000A3017">
        <w:t xml:space="preserve"> </w:t>
      </w:r>
    </w:p>
    <w:p w14:paraId="3FBB438C" w14:textId="77777777" w:rsidR="00C67432" w:rsidRPr="000A3017" w:rsidRDefault="00C67432" w:rsidP="006117D3">
      <w:pPr>
        <w:pStyle w:val="ListParagraph"/>
        <w:numPr>
          <w:ilvl w:val="0"/>
          <w:numId w:val="30"/>
        </w:numPr>
        <w:ind w:left="1800"/>
      </w:pPr>
      <w:r w:rsidRPr="000A3017">
        <w:t>Ammonia</w:t>
      </w:r>
    </w:p>
    <w:p w14:paraId="0E1B3B10" w14:textId="77777777" w:rsidR="00C67432" w:rsidRPr="000A3017" w:rsidRDefault="00C67432" w:rsidP="006117D3">
      <w:pPr>
        <w:pStyle w:val="ListParagraph"/>
        <w:numPr>
          <w:ilvl w:val="0"/>
          <w:numId w:val="30"/>
        </w:numPr>
        <w:ind w:left="1800"/>
      </w:pPr>
      <w:r w:rsidRPr="000A3017">
        <w:t>Methane</w:t>
      </w:r>
    </w:p>
    <w:p w14:paraId="45B58930" w14:textId="10A50867" w:rsidR="00C67432" w:rsidRPr="000A3017" w:rsidRDefault="00C67432" w:rsidP="006117D3">
      <w:pPr>
        <w:pStyle w:val="ListParagraph"/>
        <w:numPr>
          <w:ilvl w:val="0"/>
          <w:numId w:val="30"/>
        </w:numPr>
        <w:ind w:left="1800"/>
      </w:pPr>
      <w:r w:rsidRPr="000A3017">
        <w:t>Fire (including recommendations from WRAP FSWG)</w:t>
      </w:r>
    </w:p>
    <w:p w14:paraId="605CCF00" w14:textId="77777777" w:rsidR="00C67432" w:rsidRPr="000A3017" w:rsidRDefault="00C67432" w:rsidP="006117D3">
      <w:pPr>
        <w:pStyle w:val="ListParagraph"/>
        <w:numPr>
          <w:ilvl w:val="0"/>
          <w:numId w:val="30"/>
        </w:numPr>
        <w:ind w:left="1800"/>
      </w:pPr>
      <w:r w:rsidRPr="000A3017">
        <w:t>Dust (including recommendations from WRAP Regional Technical Operations Work Group)</w:t>
      </w:r>
    </w:p>
    <w:p w14:paraId="637E27A9" w14:textId="77777777" w:rsidR="00C67432" w:rsidRDefault="00C67432" w:rsidP="006117D3">
      <w:pPr>
        <w:pStyle w:val="ListParagraph"/>
        <w:numPr>
          <w:ilvl w:val="0"/>
          <w:numId w:val="30"/>
        </w:numPr>
        <w:ind w:left="1800"/>
      </w:pPr>
      <w:r w:rsidRPr="000A3017">
        <w:t xml:space="preserve">Biogenics </w:t>
      </w:r>
    </w:p>
    <w:p w14:paraId="79C4777A" w14:textId="77777777" w:rsidR="00C67432" w:rsidRDefault="00C67432" w:rsidP="00C67432">
      <w:pPr>
        <w:pStyle w:val="ListParagraph"/>
        <w:numPr>
          <w:ilvl w:val="0"/>
          <w:numId w:val="10"/>
        </w:numPr>
        <w:ind w:left="1080"/>
      </w:pPr>
      <w:r>
        <w:t>P</w:t>
      </w:r>
      <w:r w:rsidR="00274B06">
        <w:t>erform</w:t>
      </w:r>
      <w:r>
        <w:t>ing</w:t>
      </w:r>
      <w:r w:rsidR="002D45B6" w:rsidRPr="000A3017">
        <w:t xml:space="preserve"> emissions quality assurance assessments recommended by the Cooperating Agencies.</w:t>
      </w:r>
      <w:r w:rsidR="002D45B6" w:rsidRPr="000A3017">
        <w:rPr>
          <w:rStyle w:val="FootnoteReference"/>
        </w:rPr>
        <w:footnoteReference w:id="5"/>
      </w:r>
    </w:p>
    <w:p w14:paraId="0128718B" w14:textId="77777777" w:rsidR="00C67432" w:rsidRPr="00C67432" w:rsidRDefault="00FB6D5E" w:rsidP="00C67432">
      <w:pPr>
        <w:pStyle w:val="ListParagraph"/>
        <w:numPr>
          <w:ilvl w:val="0"/>
          <w:numId w:val="10"/>
        </w:numPr>
        <w:ind w:left="1080"/>
      </w:pPr>
      <w:r w:rsidRPr="00C67432">
        <w:rPr>
          <w:rFonts w:eastAsia="Times New Roman"/>
        </w:rPr>
        <w:t>Complet</w:t>
      </w:r>
      <w:r w:rsidR="00C67432" w:rsidRPr="00C67432">
        <w:rPr>
          <w:rFonts w:eastAsia="Times New Roman"/>
        </w:rPr>
        <w:t>ing</w:t>
      </w:r>
      <w:r w:rsidRPr="00C67432">
        <w:rPr>
          <w:rFonts w:eastAsia="Times New Roman"/>
        </w:rPr>
        <w:t xml:space="preserve"> a</w:t>
      </w:r>
      <w:r w:rsidR="00C9318F">
        <w:rPr>
          <w:rFonts w:eastAsia="Times New Roman"/>
        </w:rPr>
        <w:t>n emissions</w:t>
      </w:r>
      <w:r w:rsidRPr="00C67432">
        <w:rPr>
          <w:rFonts w:eastAsia="Times New Roman"/>
        </w:rPr>
        <w:t xml:space="preserve"> trends analysis using previous emissions info</w:t>
      </w:r>
      <w:r w:rsidR="0069220A">
        <w:rPr>
          <w:rFonts w:eastAsia="Times New Roman"/>
        </w:rPr>
        <w:t>rmation.</w:t>
      </w:r>
    </w:p>
    <w:p w14:paraId="07989C78" w14:textId="77777777" w:rsidR="00C67432" w:rsidRDefault="00B122EE" w:rsidP="00C67432">
      <w:pPr>
        <w:pStyle w:val="ListParagraph"/>
        <w:numPr>
          <w:ilvl w:val="0"/>
          <w:numId w:val="10"/>
        </w:numPr>
        <w:ind w:left="1080"/>
      </w:pPr>
      <w:r w:rsidRPr="00C67432">
        <w:rPr>
          <w:rFonts w:eastAsia="Times New Roman"/>
        </w:rPr>
        <w:t>R</w:t>
      </w:r>
      <w:r w:rsidRPr="000A3017">
        <w:t>eview</w:t>
      </w:r>
      <w:r w:rsidR="00C67432">
        <w:t>ing</w:t>
      </w:r>
      <w:r w:rsidRPr="000A3017">
        <w:t xml:space="preserve"> the </w:t>
      </w:r>
      <w:r w:rsidR="00D70A84">
        <w:t xml:space="preserve">available </w:t>
      </w:r>
      <w:r w:rsidRPr="000A3017">
        <w:t>data</w:t>
      </w:r>
      <w:r w:rsidR="00D70A84">
        <w:t xml:space="preserve"> sources, assess ready-to-use emissions projections data,</w:t>
      </w:r>
      <w:r w:rsidRPr="000A3017">
        <w:t xml:space="preserve"> and forecast</w:t>
      </w:r>
      <w:r w:rsidR="00D70A84">
        <w:t>ing</w:t>
      </w:r>
      <w:r w:rsidRPr="000A3017">
        <w:t xml:space="preserve"> </w:t>
      </w:r>
      <w:r w:rsidR="00D70A84">
        <w:t xml:space="preserve">methods and </w:t>
      </w:r>
      <w:r w:rsidRPr="000A3017">
        <w:t xml:space="preserve">tools for projecting a future year emissions inventory, including updates to projections of future year oil and gas emissions and the development of gridded emissions data for future projections of area, point and mobile source emissions. </w:t>
      </w:r>
    </w:p>
    <w:p w14:paraId="04B75934" w14:textId="77777777" w:rsidR="00911413" w:rsidRPr="00C67432" w:rsidRDefault="00E314C4" w:rsidP="00C9318F">
      <w:pPr>
        <w:pStyle w:val="ListParagraph"/>
        <w:numPr>
          <w:ilvl w:val="0"/>
          <w:numId w:val="10"/>
        </w:numPr>
        <w:ind w:left="1080"/>
      </w:pPr>
      <w:r w:rsidRPr="000A3017">
        <w:t xml:space="preserve">Emissions estimates developed with the latest versions of </w:t>
      </w:r>
      <w:r w:rsidR="004E737E">
        <w:t>available emissions models</w:t>
      </w:r>
      <w:r w:rsidR="00A603C0">
        <w:t>, i</w:t>
      </w:r>
      <w:r w:rsidR="00C9318F" w:rsidRPr="00C9318F">
        <w:t>ncluding the Motor Vehicle Emission Simulator (MOVES) and the Model of Emissions of Gases and Aerosols from Nature (MEGAN</w:t>
      </w:r>
      <w:r w:rsidR="00A603C0">
        <w:t>)</w:t>
      </w:r>
      <w:r w:rsidR="004E737E">
        <w:t xml:space="preserve">. </w:t>
      </w:r>
    </w:p>
    <w:p w14:paraId="08E5C1F3" w14:textId="77777777" w:rsidR="000A3017" w:rsidRDefault="000A3017" w:rsidP="00E314C4">
      <w:pPr>
        <w:pStyle w:val="ListParagraph"/>
        <w:ind w:left="1080"/>
      </w:pPr>
    </w:p>
    <w:p w14:paraId="714E3CE3" w14:textId="77777777" w:rsidR="000C7767" w:rsidRDefault="001218E4" w:rsidP="0099086C">
      <w:pPr>
        <w:ind w:left="360"/>
      </w:pPr>
      <w:r>
        <w:t xml:space="preserve">The deliverables of the </w:t>
      </w:r>
      <w:r w:rsidR="002D45B6">
        <w:t>emissions inventor</w:t>
      </w:r>
      <w:r w:rsidR="00696B2C">
        <w:t>y</w:t>
      </w:r>
      <w:r w:rsidR="002D45B6">
        <w:t xml:space="preserve"> work</w:t>
      </w:r>
      <w:r>
        <w:t xml:space="preserve"> include:</w:t>
      </w:r>
    </w:p>
    <w:p w14:paraId="6182BC19" w14:textId="77777777" w:rsidR="009E688B" w:rsidRDefault="00D70A84" w:rsidP="0099086C">
      <w:pPr>
        <w:pStyle w:val="ListParagraph"/>
        <w:numPr>
          <w:ilvl w:val="0"/>
          <w:numId w:val="11"/>
        </w:numPr>
        <w:ind w:left="1080"/>
      </w:pPr>
      <w:r>
        <w:t>As part of the p</w:t>
      </w:r>
      <w:r w:rsidR="009E688B">
        <w:t>rotocol</w:t>
      </w:r>
      <w:r>
        <w:t>,</w:t>
      </w:r>
      <w:r w:rsidR="009E688B">
        <w:t xml:space="preserve"> outlin</w:t>
      </w:r>
      <w:r>
        <w:t>e</w:t>
      </w:r>
      <w:r w:rsidR="009E688B">
        <w:t xml:space="preserve"> specific work objectives, procedures, and activities, type of assistance and information needed from the Cooperating Agencies, and timeframes.</w:t>
      </w:r>
    </w:p>
    <w:p w14:paraId="6F76F567" w14:textId="77777777" w:rsidR="009E688B" w:rsidRPr="001B5A4C" w:rsidRDefault="009E688B" w:rsidP="0099086C">
      <w:pPr>
        <w:pStyle w:val="ListParagraph"/>
        <w:numPr>
          <w:ilvl w:val="0"/>
          <w:numId w:val="11"/>
        </w:numPr>
        <w:ind w:left="1080"/>
      </w:pPr>
      <w:r>
        <w:t xml:space="preserve">Progress reports outlining completed and upcoming work, challenges, changes to the </w:t>
      </w:r>
      <w:r w:rsidR="00C94380">
        <w:t>p</w:t>
      </w:r>
      <w:r w:rsidR="00C94380" w:rsidRPr="001B5A4C">
        <w:t>rotocol</w:t>
      </w:r>
      <w:r w:rsidRPr="001B5A4C">
        <w:t>, and resources.</w:t>
      </w:r>
    </w:p>
    <w:p w14:paraId="41B166F4" w14:textId="77777777" w:rsidR="009E688B" w:rsidRPr="001B5A4C" w:rsidRDefault="00A43EFE" w:rsidP="0099086C">
      <w:pPr>
        <w:pStyle w:val="ListParagraph"/>
        <w:numPr>
          <w:ilvl w:val="0"/>
          <w:numId w:val="11"/>
        </w:numPr>
        <w:ind w:left="1080"/>
      </w:pPr>
      <w:r>
        <w:t>Quality a</w:t>
      </w:r>
      <w:r w:rsidR="009E688B" w:rsidRPr="001B5A4C">
        <w:t xml:space="preserve">ssurance reports characterizing the completeness, representativeness, and uncertainty of each source category. </w:t>
      </w:r>
    </w:p>
    <w:p w14:paraId="4DC78644" w14:textId="77777777" w:rsidR="001B5A4C" w:rsidRPr="001B5A4C" w:rsidRDefault="001B5A4C" w:rsidP="0099086C">
      <w:pPr>
        <w:pStyle w:val="ListParagraph"/>
        <w:numPr>
          <w:ilvl w:val="0"/>
          <w:numId w:val="11"/>
        </w:numPr>
        <w:ind w:left="1080"/>
      </w:pPr>
      <w:r w:rsidRPr="001B5A4C">
        <w:t>Survey data on activity, equipment, processes and gas compositions for the source categories</w:t>
      </w:r>
      <w:r w:rsidR="001360D7">
        <w:t>.</w:t>
      </w:r>
    </w:p>
    <w:p w14:paraId="7A76C08E" w14:textId="77777777" w:rsidR="00D70A84" w:rsidRDefault="00D70A84" w:rsidP="0099086C">
      <w:pPr>
        <w:pStyle w:val="ListParagraph"/>
        <w:numPr>
          <w:ilvl w:val="0"/>
          <w:numId w:val="11"/>
        </w:numPr>
        <w:ind w:left="1080"/>
      </w:pPr>
      <w:r>
        <w:t xml:space="preserve">Base </w:t>
      </w:r>
      <w:r w:rsidR="0043108D">
        <w:t xml:space="preserve">and future-year emissions inventory files </w:t>
      </w:r>
      <w:r>
        <w:t>for all source categories as they are tracked and managed by Cooperating Agencies.</w:t>
      </w:r>
    </w:p>
    <w:p w14:paraId="38C61055" w14:textId="77777777" w:rsidR="009E688B" w:rsidRPr="001B5A4C" w:rsidRDefault="00F92629" w:rsidP="0099086C">
      <w:pPr>
        <w:pStyle w:val="ListParagraph"/>
        <w:numPr>
          <w:ilvl w:val="0"/>
          <w:numId w:val="11"/>
        </w:numPr>
        <w:ind w:left="1080"/>
      </w:pPr>
      <w:r>
        <w:t xml:space="preserve">Base and </w:t>
      </w:r>
      <w:r w:rsidR="00C94380">
        <w:t xml:space="preserve">future year </w:t>
      </w:r>
      <w:r>
        <w:t>m</w:t>
      </w:r>
      <w:r w:rsidR="009E688B" w:rsidRPr="001B5A4C">
        <w:t>odel-ready gridded emissions files</w:t>
      </w:r>
      <w:r w:rsidR="00D70A84">
        <w:t xml:space="preserve"> for all source categories</w:t>
      </w:r>
      <w:r w:rsidR="009E688B" w:rsidRPr="001B5A4C">
        <w:t>.</w:t>
      </w:r>
    </w:p>
    <w:p w14:paraId="216D5363" w14:textId="77777777" w:rsidR="009E688B" w:rsidRPr="001B5A4C" w:rsidRDefault="00A43EFE" w:rsidP="0099086C">
      <w:pPr>
        <w:pStyle w:val="ListParagraph"/>
        <w:numPr>
          <w:ilvl w:val="0"/>
          <w:numId w:val="11"/>
        </w:numPr>
        <w:ind w:left="1080"/>
      </w:pPr>
      <w:r>
        <w:t>Final r</w:t>
      </w:r>
      <w:r w:rsidR="009E688B" w:rsidRPr="001B5A4C">
        <w:t>eport that addresses the objectives</w:t>
      </w:r>
      <w:r w:rsidR="00911413">
        <w:t xml:space="preserve"> and</w:t>
      </w:r>
      <w:r w:rsidR="009E688B" w:rsidRPr="001B5A4C">
        <w:t xml:space="preserve"> </w:t>
      </w:r>
      <w:r w:rsidR="001B5A4C">
        <w:t>summarizes the work products</w:t>
      </w:r>
      <w:r w:rsidR="00FB6D5E">
        <w:t>, trends analysis,</w:t>
      </w:r>
      <w:r w:rsidR="00911413">
        <w:t xml:space="preserve"> and lessons learned in building the emissions inventories</w:t>
      </w:r>
      <w:r w:rsidR="009E688B" w:rsidRPr="001B5A4C">
        <w:t>.</w:t>
      </w:r>
    </w:p>
    <w:p w14:paraId="7A24D3E1" w14:textId="77777777" w:rsidR="002D45B6" w:rsidRPr="001B5A4C" w:rsidRDefault="002D45B6" w:rsidP="0099086C">
      <w:pPr>
        <w:pStyle w:val="ListParagraph"/>
        <w:numPr>
          <w:ilvl w:val="0"/>
          <w:numId w:val="11"/>
        </w:numPr>
        <w:ind w:left="1080"/>
      </w:pPr>
      <w:r w:rsidRPr="001B5A4C">
        <w:t xml:space="preserve">Transfer </w:t>
      </w:r>
      <w:r w:rsidR="001360D7">
        <w:t xml:space="preserve">of </w:t>
      </w:r>
      <w:r w:rsidRPr="001B5A4C">
        <w:t xml:space="preserve">all </w:t>
      </w:r>
      <w:r w:rsidR="001B5A4C" w:rsidRPr="001B5A4C">
        <w:t>emissions inventories</w:t>
      </w:r>
      <w:r w:rsidR="001B5A4C">
        <w:t xml:space="preserve"> and work products</w:t>
      </w:r>
      <w:r w:rsidR="001B5A4C" w:rsidRPr="001B5A4C">
        <w:t xml:space="preserve"> to</w:t>
      </w:r>
      <w:r w:rsidRPr="001B5A4C">
        <w:t xml:space="preserve"> </w:t>
      </w:r>
      <w:r w:rsidR="00274B06">
        <w:t xml:space="preserve">the </w:t>
      </w:r>
      <w:r w:rsidRPr="001B5A4C">
        <w:t>IWDW</w:t>
      </w:r>
      <w:r w:rsidR="00D70A84">
        <w:t xml:space="preserve"> for display and access</w:t>
      </w:r>
      <w:r w:rsidRPr="001B5A4C">
        <w:t>.</w:t>
      </w:r>
      <w:r w:rsidR="000C7767">
        <w:t xml:space="preserve"> </w:t>
      </w:r>
    </w:p>
    <w:p w14:paraId="71E1538C" w14:textId="77777777" w:rsidR="006826D7" w:rsidRDefault="006826D7" w:rsidP="008A673D"/>
    <w:p w14:paraId="6C4F28F4" w14:textId="77777777" w:rsidR="00C86C1F" w:rsidRDefault="00CA7613" w:rsidP="00C86C1F">
      <w:pPr>
        <w:pStyle w:val="ListParagraph"/>
        <w:numPr>
          <w:ilvl w:val="0"/>
          <w:numId w:val="1"/>
        </w:numPr>
      </w:pPr>
      <w:r>
        <w:t xml:space="preserve">Initial and </w:t>
      </w:r>
      <w:r w:rsidR="00AA646C">
        <w:t xml:space="preserve">Boundary Conditions Modeling </w:t>
      </w:r>
    </w:p>
    <w:p w14:paraId="33E305AA" w14:textId="77777777" w:rsidR="00C86C1F" w:rsidRDefault="00C86C1F" w:rsidP="00C86C1F">
      <w:pPr>
        <w:pStyle w:val="ListParagraph"/>
        <w:ind w:left="360"/>
      </w:pPr>
    </w:p>
    <w:p w14:paraId="6DA53634" w14:textId="6C0B7BA3" w:rsidR="00E22FCE" w:rsidRDefault="00970021" w:rsidP="00E22FCE">
      <w:pPr>
        <w:pStyle w:val="ListParagraph"/>
        <w:ind w:left="360"/>
      </w:pPr>
      <w:r w:rsidRPr="00970021">
        <w:t xml:space="preserve">Previous regional modeling analyses over the </w:t>
      </w:r>
      <w:r w:rsidR="001B3073">
        <w:t>IWDW-</w:t>
      </w:r>
      <w:r>
        <w:t>WAQS</w:t>
      </w:r>
      <w:r w:rsidRPr="00970021">
        <w:t xml:space="preserve"> region have shown significant influence from model boundary conditions on simulated pollutant concentrations within the domain.</w:t>
      </w:r>
      <w:r>
        <w:t xml:space="preserve"> </w:t>
      </w:r>
      <w:r w:rsidRPr="00970021">
        <w:lastRenderedPageBreak/>
        <w:t xml:space="preserve">As a result, </w:t>
      </w:r>
      <w:r w:rsidR="00037571">
        <w:t>a</w:t>
      </w:r>
      <w:r w:rsidRPr="00970021">
        <w:t xml:space="preserve"> qualitative assessment of the boundary conditions and their influence on simulated concentrations within the</w:t>
      </w:r>
      <w:r w:rsidR="00CA7613">
        <w:t xml:space="preserve"> domain</w:t>
      </w:r>
      <w:r w:rsidR="00037571">
        <w:t xml:space="preserve"> should be completed prior to using them for the air quality modeling</w:t>
      </w:r>
      <w:r w:rsidR="00CA7613">
        <w:t xml:space="preserve">. </w:t>
      </w:r>
      <w:r w:rsidR="00E22FCE" w:rsidRPr="00970021">
        <w:t xml:space="preserve">This </w:t>
      </w:r>
      <w:r w:rsidR="00E22FCE">
        <w:t>evaluation will</w:t>
      </w:r>
      <w:r w:rsidR="00E22FCE" w:rsidRPr="00970021">
        <w:t xml:space="preserve"> assist in determining how accurately the model platform simulates the transport of air pollution from outside the domain to locations within the domain </w:t>
      </w:r>
      <w:r w:rsidR="006F3D72" w:rsidRPr="00970021">
        <w:t>using</w:t>
      </w:r>
      <w:r w:rsidR="00E22FCE" w:rsidRPr="00970021">
        <w:t xml:space="preserve"> boundary conditions derived from a global model (GM) simulation (e.g., GEOS-Chem, CAM-</w:t>
      </w:r>
      <w:r w:rsidR="009772B2">
        <w:t>C</w:t>
      </w:r>
      <w:r w:rsidR="00E22FCE" w:rsidRPr="00970021">
        <w:t>hem, AM3, hemi</w:t>
      </w:r>
      <w:r w:rsidR="00E22FCE">
        <w:t xml:space="preserve">spheric CMAQ, etc.). </w:t>
      </w:r>
    </w:p>
    <w:p w14:paraId="5ABB5FA8" w14:textId="77777777" w:rsidR="00E22FCE" w:rsidRDefault="00E22FCE" w:rsidP="00037571">
      <w:pPr>
        <w:pStyle w:val="ListParagraph"/>
        <w:ind w:left="360"/>
      </w:pPr>
    </w:p>
    <w:p w14:paraId="5B2E2C9B" w14:textId="093BA570" w:rsidR="00E22FCE" w:rsidRDefault="00F16C38" w:rsidP="00037571">
      <w:pPr>
        <w:pStyle w:val="ListParagraph"/>
        <w:ind w:left="360"/>
      </w:pPr>
      <w:r>
        <w:t>Th</w:t>
      </w:r>
      <w:r w:rsidR="00D422BC">
        <w:t>ere is potential that this</w:t>
      </w:r>
      <w:r>
        <w:t xml:space="preserve"> </w:t>
      </w:r>
      <w:r w:rsidR="00D422BC">
        <w:t xml:space="preserve">work and associated </w:t>
      </w:r>
      <w:r>
        <w:t>evaluation</w:t>
      </w:r>
      <w:r w:rsidR="00D422BC">
        <w:t xml:space="preserve"> of the initial and boundary conditions modeling</w:t>
      </w:r>
      <w:r>
        <w:t xml:space="preserve"> </w:t>
      </w:r>
      <w:r w:rsidR="00D422BC">
        <w:t>will be completed by groups outside of the IWDW-WAQS. I</w:t>
      </w:r>
      <w:r w:rsidR="001B3073">
        <w:t>f</w:t>
      </w:r>
      <w:r w:rsidR="00D422BC">
        <w:t xml:space="preserve"> this </w:t>
      </w:r>
      <w:r w:rsidR="001B3073">
        <w:t xml:space="preserve">is the </w:t>
      </w:r>
      <w:r w:rsidR="00D422BC">
        <w:t>case, the IWDW-WAQS can leverage the work completed by the outside groups. However, if this work and evaluation is not completed by other groups, the IWDW-WAQS will need to complete</w:t>
      </w:r>
      <w:r w:rsidR="00E65910">
        <w:t xml:space="preserve"> </w:t>
      </w:r>
      <w:r w:rsidR="00E22FCE">
        <w:t xml:space="preserve">any necessary work associated to the initial and boundary conditions modeling based on available resources. </w:t>
      </w:r>
    </w:p>
    <w:p w14:paraId="545D102F" w14:textId="77777777" w:rsidR="00E22FCE" w:rsidRDefault="00E22FCE" w:rsidP="00037571">
      <w:pPr>
        <w:pStyle w:val="ListParagraph"/>
        <w:ind w:left="360"/>
      </w:pPr>
    </w:p>
    <w:p w14:paraId="275D0953" w14:textId="736D0D01" w:rsidR="005B1939" w:rsidRPr="001B3073" w:rsidRDefault="00E22FCE" w:rsidP="00E22FCE">
      <w:pPr>
        <w:pStyle w:val="ListParagraph"/>
        <w:ind w:left="360"/>
      </w:pPr>
      <w:r>
        <w:t>The</w:t>
      </w:r>
      <w:r w:rsidR="00F16C38">
        <w:t xml:space="preserve"> Cooperators will</w:t>
      </w:r>
      <w:r>
        <w:t xml:space="preserve"> </w:t>
      </w:r>
      <w:r w:rsidR="00F16C38">
        <w:t>need to</w:t>
      </w:r>
      <w:r>
        <w:t xml:space="preserve"> </w:t>
      </w:r>
      <w:r w:rsidR="00F16C38">
        <w:t xml:space="preserve">understand and accept the limitations and shortcomings of </w:t>
      </w:r>
      <w:r>
        <w:t xml:space="preserve">the </w:t>
      </w:r>
      <w:r w:rsidR="00F16C38">
        <w:t>global models</w:t>
      </w:r>
      <w:r>
        <w:t xml:space="preserve"> and determine how to address the uncertainty of initial and boundary conditions and their effects on the IWDW-WAQS region</w:t>
      </w:r>
      <w:r w:rsidR="00265EBA">
        <w:t>al</w:t>
      </w:r>
      <w:r>
        <w:t xml:space="preserve"> modeling. I</w:t>
      </w:r>
      <w:r w:rsidRPr="00E22FCE">
        <w:t>f issues are identified as part of the initial evaluation</w:t>
      </w:r>
      <w:r w:rsidR="00970021" w:rsidRPr="00E22FCE">
        <w:t xml:space="preserve">, </w:t>
      </w:r>
      <w:bookmarkStart w:id="1" w:name="_Hlk521586818"/>
      <w:r w:rsidR="002737F3" w:rsidRPr="00E22FCE">
        <w:t xml:space="preserve">the Cooperators will determine whether </w:t>
      </w:r>
      <w:r w:rsidR="00970021" w:rsidRPr="00E22FCE">
        <w:t>a more intensive evaluation of the ozone and PM</w:t>
      </w:r>
      <w:r w:rsidR="00970021" w:rsidRPr="00E22FCE">
        <w:rPr>
          <w:vertAlign w:val="subscript"/>
        </w:rPr>
        <w:t xml:space="preserve">2.5 </w:t>
      </w:r>
      <w:r w:rsidR="00970021" w:rsidRPr="00E22FCE">
        <w:t xml:space="preserve">boundary contributions </w:t>
      </w:r>
      <w:r w:rsidR="00037571" w:rsidRPr="00E22FCE">
        <w:t>could</w:t>
      </w:r>
      <w:r w:rsidR="00AB3E29" w:rsidRPr="00E22FCE">
        <w:t xml:space="preserve"> </w:t>
      </w:r>
      <w:r w:rsidR="00970021" w:rsidRPr="00E22FCE">
        <w:t>be completed</w:t>
      </w:r>
      <w:r w:rsidR="00CA7613" w:rsidRPr="00E22FCE">
        <w:t xml:space="preserve"> </w:t>
      </w:r>
      <w:r w:rsidR="00037571" w:rsidRPr="00E22FCE">
        <w:t xml:space="preserve">to </w:t>
      </w:r>
      <w:r w:rsidR="00970021" w:rsidRPr="00E22FCE">
        <w:t xml:space="preserve">assist in determining whether days with large boundary contributions are a result of </w:t>
      </w:r>
      <w:r w:rsidR="00216AB6" w:rsidRPr="00E22FCE">
        <w:t xml:space="preserve">long-range/international transport, stratospheric intrusions, </w:t>
      </w:r>
      <w:r w:rsidR="00223247" w:rsidRPr="00E22FCE">
        <w:t xml:space="preserve">or </w:t>
      </w:r>
      <w:r w:rsidR="00216AB6" w:rsidRPr="00E22FCE">
        <w:t>fires.</w:t>
      </w:r>
      <w:bookmarkEnd w:id="1"/>
      <w:r w:rsidR="00970021" w:rsidRPr="00E22FCE">
        <w:t xml:space="preserve"> </w:t>
      </w:r>
      <w:r w:rsidR="002737F3" w:rsidRPr="00E22FCE">
        <w:t>This additional work would be valuable to future projects given the inter</w:t>
      </w:r>
      <w:r w:rsidR="00CC6502" w:rsidRPr="00E22FCE">
        <w:t xml:space="preserve">est and importance of transport and </w:t>
      </w:r>
      <w:r w:rsidR="002737F3" w:rsidRPr="00E22FCE">
        <w:t xml:space="preserve">international </w:t>
      </w:r>
      <w:r w:rsidR="002737F3" w:rsidRPr="001B3073">
        <w:t>contribution in this region.</w:t>
      </w:r>
    </w:p>
    <w:p w14:paraId="373B8254" w14:textId="77777777" w:rsidR="00AC5810" w:rsidRPr="001B3073" w:rsidRDefault="00AC5810" w:rsidP="00F9085A">
      <w:pPr>
        <w:pStyle w:val="ListParagraph"/>
        <w:ind w:left="360"/>
      </w:pPr>
    </w:p>
    <w:p w14:paraId="0103ADCE" w14:textId="5AB401EB" w:rsidR="002737F3" w:rsidRDefault="002737F3" w:rsidP="002737F3">
      <w:pPr>
        <w:ind w:left="360"/>
      </w:pPr>
      <w:r w:rsidRPr="001B3073">
        <w:t xml:space="preserve">Additional tasks related to initial and boundary conditions modeling are discussed in Appendix </w:t>
      </w:r>
      <w:r w:rsidR="003140A6">
        <w:t>B</w:t>
      </w:r>
      <w:r w:rsidRPr="001B3073">
        <w:t>. These tasks will be revisited throughout this work plan cycle to assess the needs, timing, and resources.</w:t>
      </w:r>
    </w:p>
    <w:p w14:paraId="052F70C9" w14:textId="77777777" w:rsidR="002737F3" w:rsidRDefault="002737F3" w:rsidP="00F9085A">
      <w:pPr>
        <w:pStyle w:val="ListParagraph"/>
        <w:ind w:left="360"/>
      </w:pPr>
    </w:p>
    <w:p w14:paraId="0806844C" w14:textId="56414055" w:rsidR="0025495F" w:rsidRPr="00970021" w:rsidRDefault="001B3073" w:rsidP="005B1939">
      <w:pPr>
        <w:pStyle w:val="ListParagraph"/>
        <w:ind w:left="360"/>
      </w:pPr>
      <w:r>
        <w:t>If needed, t</w:t>
      </w:r>
      <w:r w:rsidR="00AA646C">
        <w:t xml:space="preserve">he general objective of the </w:t>
      </w:r>
      <w:r w:rsidR="00CA7613">
        <w:t>boundary conditions modeling</w:t>
      </w:r>
      <w:r w:rsidR="00AA646C">
        <w:t xml:space="preserve"> work include</w:t>
      </w:r>
      <w:r w:rsidR="006057FA">
        <w:t>s</w:t>
      </w:r>
      <w:r w:rsidR="00AA646C">
        <w:t xml:space="preserve"> </w:t>
      </w:r>
      <w:r w:rsidR="00871B08">
        <w:t>an initial assessment of boun</w:t>
      </w:r>
      <w:r w:rsidR="00CA7613">
        <w:t>dary conditions</w:t>
      </w:r>
      <w:r w:rsidR="00817A8D">
        <w:t xml:space="preserve"> and </w:t>
      </w:r>
      <w:r w:rsidR="005B1939">
        <w:t>global model</w:t>
      </w:r>
      <w:r w:rsidR="00AA646C">
        <w:t xml:space="preserve">. </w:t>
      </w:r>
      <w:r w:rsidR="006057FA">
        <w:t xml:space="preserve">Based on available resources, the </w:t>
      </w:r>
      <w:r w:rsidR="00CA7613" w:rsidRPr="00970021">
        <w:t>options for the initial assessment of the boundary conditions</w:t>
      </w:r>
      <w:r w:rsidR="00871B08">
        <w:t xml:space="preserve"> could</w:t>
      </w:r>
      <w:r w:rsidR="00CA7613" w:rsidRPr="00970021">
        <w:t xml:space="preserve"> include:</w:t>
      </w:r>
    </w:p>
    <w:p w14:paraId="7D0E1C33" w14:textId="3998DD2B" w:rsidR="00CA7613" w:rsidRPr="00970021" w:rsidRDefault="00CA7613" w:rsidP="00844497">
      <w:pPr>
        <w:pStyle w:val="NoSpacing"/>
        <w:numPr>
          <w:ilvl w:val="0"/>
          <w:numId w:val="22"/>
        </w:numPr>
        <w:ind w:left="1080"/>
        <w:rPr>
          <w:rFonts w:ascii="Times New Roman" w:hAnsi="Times New Roman" w:cs="Times New Roman"/>
          <w:sz w:val="24"/>
          <w:szCs w:val="24"/>
        </w:rPr>
      </w:pPr>
      <w:r w:rsidRPr="00970021">
        <w:rPr>
          <w:rFonts w:ascii="Times New Roman" w:hAnsi="Times New Roman" w:cs="Times New Roman"/>
          <w:sz w:val="24"/>
          <w:szCs w:val="24"/>
        </w:rPr>
        <w:t>Evaluation of the Global Model</w:t>
      </w:r>
      <w:r w:rsidR="005B1939">
        <w:rPr>
          <w:rFonts w:ascii="Times New Roman" w:hAnsi="Times New Roman" w:cs="Times New Roman"/>
          <w:sz w:val="24"/>
          <w:szCs w:val="24"/>
        </w:rPr>
        <w:t xml:space="preserve"> (GM)</w:t>
      </w:r>
      <w:r w:rsidRPr="00970021">
        <w:rPr>
          <w:rFonts w:ascii="Times New Roman" w:hAnsi="Times New Roman" w:cs="Times New Roman"/>
          <w:sz w:val="24"/>
          <w:szCs w:val="24"/>
        </w:rPr>
        <w:t>: This assessment includes a review the MPE completed by the GM developers (if available</w:t>
      </w:r>
      <w:r w:rsidR="0090626A" w:rsidRPr="00970021">
        <w:rPr>
          <w:rFonts w:ascii="Times New Roman" w:hAnsi="Times New Roman" w:cs="Times New Roman"/>
          <w:sz w:val="24"/>
          <w:szCs w:val="24"/>
        </w:rPr>
        <w:t>) or</w:t>
      </w:r>
      <w:r w:rsidRPr="00970021">
        <w:rPr>
          <w:rFonts w:ascii="Times New Roman" w:hAnsi="Times New Roman" w:cs="Times New Roman"/>
          <w:sz w:val="24"/>
          <w:szCs w:val="24"/>
        </w:rPr>
        <w:t xml:space="preserve"> performing an independent MPE to determine the adequacy of the GM performance. To the extent possible, an evaluation of this sort should consider performance aloft (where ozone transport is most important), as opposed to simple surface comparisons.</w:t>
      </w:r>
    </w:p>
    <w:p w14:paraId="215CC121" w14:textId="276AD9DA" w:rsidR="00CA7613" w:rsidRPr="00970021" w:rsidRDefault="00CA7613" w:rsidP="00844497">
      <w:pPr>
        <w:pStyle w:val="NoSpacing"/>
        <w:numPr>
          <w:ilvl w:val="0"/>
          <w:numId w:val="22"/>
        </w:numPr>
        <w:ind w:left="1080"/>
        <w:rPr>
          <w:rFonts w:ascii="Times New Roman" w:hAnsi="Times New Roman" w:cs="Times New Roman"/>
          <w:sz w:val="24"/>
          <w:szCs w:val="24"/>
        </w:rPr>
      </w:pPr>
      <w:r w:rsidRPr="00970021">
        <w:rPr>
          <w:rFonts w:ascii="Times New Roman" w:hAnsi="Times New Roman" w:cs="Times New Roman"/>
          <w:sz w:val="24"/>
          <w:szCs w:val="24"/>
        </w:rPr>
        <w:t xml:space="preserve">Estimating Lateral Boundary Inflow using a PGM Inert Simulation: This assessment includes a model simulation using </w:t>
      </w:r>
      <w:r w:rsidR="00871B08">
        <w:rPr>
          <w:rFonts w:ascii="Times New Roman" w:hAnsi="Times New Roman" w:cs="Times New Roman"/>
          <w:sz w:val="24"/>
          <w:szCs w:val="24"/>
        </w:rPr>
        <w:t xml:space="preserve">boundary condition </w:t>
      </w:r>
      <w:r w:rsidRPr="00970021">
        <w:rPr>
          <w:rFonts w:ascii="Times New Roman" w:hAnsi="Times New Roman" w:cs="Times New Roman"/>
          <w:sz w:val="24"/>
          <w:szCs w:val="24"/>
        </w:rPr>
        <w:t xml:space="preserve">inputs without simulating emissions or chemistry. Relative to the other options, minimal resources would be needed to complete this evaluation. However, inert tracer runs have been shown to overestimate boundary ozone influence in some cases (Baker et al., 2015), so an evaluation of this type is not intended to provide a quantitative estimate of ozone lateral boundary inflow. </w:t>
      </w:r>
    </w:p>
    <w:p w14:paraId="7E69CA8E" w14:textId="77777777" w:rsidR="00871B08" w:rsidRDefault="00871B08" w:rsidP="00871B08">
      <w:pPr>
        <w:ind w:left="360"/>
      </w:pPr>
    </w:p>
    <w:p w14:paraId="3B8C92F0" w14:textId="77777777" w:rsidR="0025495F" w:rsidRDefault="00871B08" w:rsidP="00B65D18">
      <w:pPr>
        <w:ind w:left="360"/>
      </w:pPr>
      <w:r>
        <w:t>The approach for accompli</w:t>
      </w:r>
      <w:r w:rsidR="006057FA">
        <w:t>shing this objective</w:t>
      </w:r>
      <w:r>
        <w:t xml:space="preserve"> include</w:t>
      </w:r>
      <w:r w:rsidR="006057FA">
        <w:t>s</w:t>
      </w:r>
      <w:r w:rsidR="00B65D18">
        <w:t xml:space="preserve"> an e</w:t>
      </w:r>
      <w:r>
        <w:t xml:space="preserve">valuation of the GM performance using the </w:t>
      </w:r>
      <w:r w:rsidRPr="000A3017">
        <w:t xml:space="preserve">recommended </w:t>
      </w:r>
      <w:r>
        <w:t xml:space="preserve">analyses </w:t>
      </w:r>
      <w:r w:rsidRPr="000A3017">
        <w:t>by the Cooperating Agencies.</w:t>
      </w:r>
      <w:r w:rsidRPr="000A3017">
        <w:rPr>
          <w:rStyle w:val="FootnoteReference"/>
        </w:rPr>
        <w:footnoteReference w:id="6"/>
      </w:r>
      <w:r w:rsidR="00B65D18">
        <w:t xml:space="preserve"> </w:t>
      </w:r>
      <w:r w:rsidR="00AA646C">
        <w:t xml:space="preserve">The deliverables of the </w:t>
      </w:r>
      <w:r w:rsidR="00CA7613">
        <w:t>boundary conditions modeling</w:t>
      </w:r>
      <w:r w:rsidR="006057FA">
        <w:t xml:space="preserve"> work </w:t>
      </w:r>
      <w:r w:rsidR="00AA646C">
        <w:t>include:</w:t>
      </w:r>
    </w:p>
    <w:p w14:paraId="1AEDC3A7" w14:textId="77777777" w:rsidR="00AA646C" w:rsidRDefault="00AA646C" w:rsidP="00F9085A">
      <w:pPr>
        <w:pStyle w:val="ListParagraph"/>
        <w:numPr>
          <w:ilvl w:val="0"/>
          <w:numId w:val="13"/>
        </w:numPr>
        <w:ind w:left="1080"/>
      </w:pPr>
      <w:r>
        <w:lastRenderedPageBreak/>
        <w:t>Protocol outlining specific work objectives, procedures, and activities, type of assistance and information needed from the Cooperating Agencies, and timeframes.</w:t>
      </w:r>
    </w:p>
    <w:p w14:paraId="2E779591" w14:textId="77777777" w:rsidR="00AA646C" w:rsidRPr="001B5A4C" w:rsidRDefault="00AA646C" w:rsidP="00F9085A">
      <w:pPr>
        <w:pStyle w:val="ListParagraph"/>
        <w:numPr>
          <w:ilvl w:val="0"/>
          <w:numId w:val="13"/>
        </w:numPr>
        <w:ind w:left="1080"/>
      </w:pPr>
      <w:r>
        <w:t xml:space="preserve">Progress reports outlining completed and upcoming work, challenges, changes to the </w:t>
      </w:r>
      <w:r w:rsidRPr="001B5A4C">
        <w:t>Protocol, and resources.</w:t>
      </w:r>
    </w:p>
    <w:p w14:paraId="3CB1A27C" w14:textId="77777777" w:rsidR="00AA646C" w:rsidRPr="001B5A4C" w:rsidRDefault="00CA7613" w:rsidP="00F9085A">
      <w:pPr>
        <w:pStyle w:val="ListParagraph"/>
        <w:numPr>
          <w:ilvl w:val="0"/>
          <w:numId w:val="13"/>
        </w:numPr>
        <w:ind w:left="1080"/>
      </w:pPr>
      <w:r>
        <w:t xml:space="preserve">Assessment </w:t>
      </w:r>
      <w:r w:rsidR="00AA646C" w:rsidRPr="001B5A4C">
        <w:t xml:space="preserve">report characterizing the completeness, representativeness, and uncertainty of </w:t>
      </w:r>
      <w:r>
        <w:t>boundary conditions</w:t>
      </w:r>
      <w:r w:rsidR="00817A8D">
        <w:t xml:space="preserve"> and GM</w:t>
      </w:r>
      <w:r w:rsidR="00AA646C" w:rsidRPr="001B5A4C">
        <w:t xml:space="preserve">. </w:t>
      </w:r>
    </w:p>
    <w:p w14:paraId="05B33B7A" w14:textId="77777777" w:rsidR="00AA646C" w:rsidRPr="001B5A4C" w:rsidRDefault="00AA646C" w:rsidP="00F9085A">
      <w:pPr>
        <w:pStyle w:val="ListParagraph"/>
        <w:numPr>
          <w:ilvl w:val="0"/>
          <w:numId w:val="13"/>
        </w:numPr>
        <w:ind w:left="1080"/>
      </w:pPr>
      <w:r>
        <w:t>M</w:t>
      </w:r>
      <w:r w:rsidRPr="001B5A4C">
        <w:t>odel-ready files</w:t>
      </w:r>
      <w:r>
        <w:t xml:space="preserve"> for </w:t>
      </w:r>
      <w:r w:rsidR="00CA7613">
        <w:t>the models</w:t>
      </w:r>
      <w:r w:rsidRPr="001B5A4C">
        <w:t>.</w:t>
      </w:r>
    </w:p>
    <w:p w14:paraId="47FD7549" w14:textId="77777777" w:rsidR="00AA646C" w:rsidRPr="001B5A4C" w:rsidRDefault="00AA646C" w:rsidP="00F9085A">
      <w:pPr>
        <w:pStyle w:val="ListParagraph"/>
        <w:numPr>
          <w:ilvl w:val="0"/>
          <w:numId w:val="13"/>
        </w:numPr>
        <w:ind w:left="1080"/>
      </w:pPr>
      <w:r w:rsidRPr="001B5A4C">
        <w:t xml:space="preserve">Final </w:t>
      </w:r>
      <w:r>
        <w:t>r</w:t>
      </w:r>
      <w:r w:rsidRPr="001B5A4C">
        <w:t xml:space="preserve">eport that addresses the objectives and </w:t>
      </w:r>
      <w:r>
        <w:t xml:space="preserve">summarizes the work products and lessons learned </w:t>
      </w:r>
      <w:r w:rsidR="00CA7613">
        <w:t>during the assessment of the boundary conditions and GMs</w:t>
      </w:r>
      <w:r w:rsidRPr="001B5A4C">
        <w:t>.</w:t>
      </w:r>
    </w:p>
    <w:p w14:paraId="618953AD" w14:textId="77777777" w:rsidR="00AA646C" w:rsidRDefault="00AA646C" w:rsidP="00F9085A">
      <w:pPr>
        <w:pStyle w:val="ListParagraph"/>
        <w:numPr>
          <w:ilvl w:val="0"/>
          <w:numId w:val="13"/>
        </w:numPr>
        <w:ind w:left="1080"/>
      </w:pPr>
      <w:r w:rsidRPr="001B5A4C">
        <w:t>Tr</w:t>
      </w:r>
      <w:r>
        <w:t>ansfer all files and work products</w:t>
      </w:r>
      <w:r w:rsidRPr="001B5A4C">
        <w:t xml:space="preserve"> to </w:t>
      </w:r>
      <w:r>
        <w:t xml:space="preserve">the </w:t>
      </w:r>
      <w:r w:rsidRPr="001B5A4C">
        <w:t>IWDW.</w:t>
      </w:r>
    </w:p>
    <w:p w14:paraId="6C5BEBBC" w14:textId="77777777" w:rsidR="00AA646C" w:rsidRDefault="00AA646C" w:rsidP="00AA646C">
      <w:pPr>
        <w:pStyle w:val="ListParagraph"/>
        <w:ind w:left="1080"/>
      </w:pPr>
    </w:p>
    <w:p w14:paraId="1D6F8DF9" w14:textId="77777777" w:rsidR="0083719F" w:rsidRDefault="0083719F" w:rsidP="00FC3F86">
      <w:pPr>
        <w:pStyle w:val="ListParagraph"/>
        <w:numPr>
          <w:ilvl w:val="0"/>
          <w:numId w:val="1"/>
        </w:numPr>
      </w:pPr>
      <w:r>
        <w:t>Meteorological Modeling</w:t>
      </w:r>
    </w:p>
    <w:p w14:paraId="5BA65AE7" w14:textId="77777777" w:rsidR="0083719F" w:rsidRDefault="0083719F" w:rsidP="0083719F">
      <w:pPr>
        <w:pStyle w:val="ListParagraph"/>
        <w:ind w:left="792"/>
      </w:pPr>
    </w:p>
    <w:p w14:paraId="17FA3AC5" w14:textId="77777777" w:rsidR="00FC3F86" w:rsidRDefault="00343F53" w:rsidP="00FC3F86">
      <w:pPr>
        <w:ind w:left="360"/>
      </w:pPr>
      <w:r>
        <w:t>The combination of u</w:t>
      </w:r>
      <w:r w:rsidR="0028637D">
        <w:t>nique meteorological conditions</w:t>
      </w:r>
      <w:r>
        <w:t>, complex terrain, and types of development in the intermountain west can generate significant environmental impacts</w:t>
      </w:r>
      <w:r w:rsidR="00AE228B">
        <w:t xml:space="preserve"> that do not typically exist </w:t>
      </w:r>
      <w:r w:rsidR="001360D7">
        <w:t xml:space="preserve">in </w:t>
      </w:r>
      <w:r w:rsidR="00AE228B">
        <w:t>other parts of the United States</w:t>
      </w:r>
      <w:r>
        <w:t xml:space="preserve">. For instance, stagnant weather conditions, extensive snow cover, and shallow temperature inversions have the potential to trap pollutants and produce </w:t>
      </w:r>
      <w:r w:rsidR="00A4675D">
        <w:t xml:space="preserve">elevated </w:t>
      </w:r>
      <w:r>
        <w:t xml:space="preserve">ground-level ozone </w:t>
      </w:r>
      <w:r w:rsidR="00C9318F">
        <w:t xml:space="preserve">in winter </w:t>
      </w:r>
      <w:r>
        <w:t xml:space="preserve">that </w:t>
      </w:r>
      <w:r w:rsidR="00A4675D">
        <w:t>can be</w:t>
      </w:r>
      <w:r>
        <w:t xml:space="preserve"> harmful to human health and the environment. </w:t>
      </w:r>
      <w:r w:rsidR="00A4675D">
        <w:t xml:space="preserve">The </w:t>
      </w:r>
      <w:r w:rsidR="00E7088D">
        <w:t xml:space="preserve">unique meteorological conditions in the </w:t>
      </w:r>
      <w:r w:rsidR="00A4675D">
        <w:t xml:space="preserve">intermountain west also </w:t>
      </w:r>
      <w:r w:rsidR="00E7088D">
        <w:t>produce elevated</w:t>
      </w:r>
      <w:r w:rsidR="00AE228B">
        <w:t xml:space="preserve"> or unhealthy</w:t>
      </w:r>
      <w:r w:rsidR="00E7088D">
        <w:t xml:space="preserve"> ozone and particula</w:t>
      </w:r>
      <w:r w:rsidR="001360D7">
        <w:t>te</w:t>
      </w:r>
      <w:r w:rsidR="00E7088D">
        <w:t xml:space="preserve"> matter</w:t>
      </w:r>
      <w:r w:rsidR="00AE228B">
        <w:t xml:space="preserve"> concentrations</w:t>
      </w:r>
      <w:r w:rsidR="00E7088D">
        <w:t xml:space="preserve"> </w:t>
      </w:r>
      <w:r w:rsidR="00AE228B">
        <w:t xml:space="preserve">from international transport, stratospheric intrusions, dust events, and wildfires. Therefore, it is imperative for the </w:t>
      </w:r>
      <w:r w:rsidR="00271A29">
        <w:t>IWDW-WAQS</w:t>
      </w:r>
      <w:r w:rsidR="00AE228B">
        <w:t xml:space="preserve"> to utilize state-of-the-science </w:t>
      </w:r>
      <w:r w:rsidR="00214CE9">
        <w:t xml:space="preserve">information and </w:t>
      </w:r>
      <w:r w:rsidR="00AE228B">
        <w:t>tools to predict the meteorological conditions needed for the emissions model and PGMs.</w:t>
      </w:r>
      <w:r w:rsidR="00214CE9">
        <w:t xml:space="preserve"> </w:t>
      </w:r>
    </w:p>
    <w:p w14:paraId="75AD4BCA" w14:textId="77777777" w:rsidR="003D36D3" w:rsidRDefault="003D36D3" w:rsidP="00FC3F86">
      <w:pPr>
        <w:ind w:left="360"/>
      </w:pPr>
    </w:p>
    <w:p w14:paraId="14417561" w14:textId="49343817" w:rsidR="003D36D3" w:rsidRDefault="003D36D3" w:rsidP="003D36D3">
      <w:pPr>
        <w:ind w:left="360"/>
      </w:pPr>
      <w:r>
        <w:t xml:space="preserve">Meteorological information is needed for the emissions model and photochemical grid models (PGMs) </w:t>
      </w:r>
      <w:r w:rsidR="006F3D72">
        <w:t>to</w:t>
      </w:r>
      <w:r>
        <w:t xml:space="preserve"> predict air quality impacts. The meteorological information will be obtained using the latest version of the </w:t>
      </w:r>
      <w:r w:rsidRPr="00181630">
        <w:t>Weather Research and Forecasting (WRF) model</w:t>
      </w:r>
      <w:r>
        <w:t xml:space="preserve"> or equivalent.</w:t>
      </w:r>
    </w:p>
    <w:p w14:paraId="2E40BA6B" w14:textId="77777777" w:rsidR="00AC5810" w:rsidRDefault="00AC5810" w:rsidP="00FC3F86">
      <w:pPr>
        <w:ind w:left="360"/>
      </w:pPr>
    </w:p>
    <w:p w14:paraId="043C6CD9" w14:textId="77777777" w:rsidR="0025495F" w:rsidRDefault="00F92629" w:rsidP="00FC3F86">
      <w:pPr>
        <w:ind w:left="360"/>
      </w:pPr>
      <w:r>
        <w:t>The general objective of the meteorological work include</w:t>
      </w:r>
      <w:r w:rsidR="006057FA">
        <w:t>s</w:t>
      </w:r>
      <w:r w:rsidR="0070424C">
        <w:t xml:space="preserve"> the development of </w:t>
      </w:r>
      <w:r>
        <w:t>meteorological files for the emissions model and PGMs. The approach for accompli</w:t>
      </w:r>
      <w:r w:rsidR="006057FA">
        <w:t>shing this objective</w:t>
      </w:r>
      <w:r>
        <w:t xml:space="preserve"> include</w:t>
      </w:r>
      <w:r w:rsidR="006057FA">
        <w:t>s</w:t>
      </w:r>
      <w:r>
        <w:t>:</w:t>
      </w:r>
    </w:p>
    <w:p w14:paraId="1D28695F" w14:textId="518B0654" w:rsidR="0028637D" w:rsidRPr="00261636" w:rsidRDefault="00B94626" w:rsidP="00FC3F86">
      <w:pPr>
        <w:pStyle w:val="ListParagraph"/>
        <w:numPr>
          <w:ilvl w:val="0"/>
          <w:numId w:val="12"/>
        </w:numPr>
        <w:ind w:left="1080"/>
      </w:pPr>
      <w:r w:rsidRPr="00261636">
        <w:t>Review</w:t>
      </w:r>
      <w:r w:rsidR="001360D7" w:rsidRPr="00261636">
        <w:t xml:space="preserve"> of</w:t>
      </w:r>
      <w:r w:rsidRPr="00261636">
        <w:t xml:space="preserve"> previous </w:t>
      </w:r>
      <w:r w:rsidR="00CC6502" w:rsidRPr="00261636">
        <w:t>201</w:t>
      </w:r>
      <w:r w:rsidR="00123F81">
        <w:t>4 and 2017</w:t>
      </w:r>
      <w:r w:rsidR="00CC6502" w:rsidRPr="00261636">
        <w:t xml:space="preserve"> </w:t>
      </w:r>
      <w:r w:rsidRPr="00261636">
        <w:t>meteorological modeling work for lessons learned and to build upon for new work.</w:t>
      </w:r>
      <w:r w:rsidR="003D36D3" w:rsidRPr="00261636">
        <w:t xml:space="preserve"> Previous modeling work would include </w:t>
      </w:r>
      <w:r w:rsidR="00123F81">
        <w:t xml:space="preserve">2014 and 2017 </w:t>
      </w:r>
      <w:r w:rsidR="003D36D3" w:rsidRPr="00261636">
        <w:t>IWDW-WAQS</w:t>
      </w:r>
      <w:r w:rsidR="00123F81">
        <w:t xml:space="preserve"> </w:t>
      </w:r>
      <w:r w:rsidR="003D36D3" w:rsidRPr="00261636">
        <w:t>and EPA</w:t>
      </w:r>
      <w:r w:rsidR="00123F81">
        <w:t xml:space="preserve"> </w:t>
      </w:r>
      <w:r w:rsidR="003D36D3" w:rsidRPr="00261636">
        <w:t>2014 WRF modeling.</w:t>
      </w:r>
    </w:p>
    <w:p w14:paraId="765D6E3C" w14:textId="450FC403" w:rsidR="00261636" w:rsidRPr="00261636" w:rsidRDefault="002F0D1E" w:rsidP="00FC3F86">
      <w:pPr>
        <w:pStyle w:val="ListParagraph"/>
        <w:numPr>
          <w:ilvl w:val="0"/>
          <w:numId w:val="12"/>
        </w:numPr>
        <w:ind w:left="1080"/>
        <w:rPr>
          <w:rFonts w:eastAsia="Times New Roman"/>
        </w:rPr>
      </w:pPr>
      <w:r>
        <w:t>The IWDW-WAQS modeling contractor will complete an a</w:t>
      </w:r>
      <w:r w:rsidR="00261636">
        <w:t xml:space="preserve">nalysis and </w:t>
      </w:r>
      <w:r>
        <w:t xml:space="preserve">provide </w:t>
      </w:r>
      <w:r w:rsidR="00261636">
        <w:t>recommendation</w:t>
      </w:r>
      <w:r>
        <w:t>s</w:t>
      </w:r>
      <w:r w:rsidR="00261636">
        <w:t xml:space="preserve"> about tradeoffs in cost, timing, WRF model version, and performance of the previous met</w:t>
      </w:r>
      <w:r w:rsidR="00B33420">
        <w:t>eorological</w:t>
      </w:r>
      <w:r w:rsidR="00261636">
        <w:t xml:space="preserve"> modeling</w:t>
      </w:r>
      <w:r>
        <w:t xml:space="preserve"> before completing additional </w:t>
      </w:r>
      <w:r w:rsidR="00123F81">
        <w:t xml:space="preserve">NEI base year </w:t>
      </w:r>
      <w:r>
        <w:t>WRF simulations</w:t>
      </w:r>
      <w:r w:rsidR="00261636">
        <w:t>.</w:t>
      </w:r>
    </w:p>
    <w:p w14:paraId="325F1F41" w14:textId="68261E78" w:rsidR="00F92629" w:rsidRDefault="00261636" w:rsidP="00FC3F86">
      <w:pPr>
        <w:pStyle w:val="ListParagraph"/>
        <w:numPr>
          <w:ilvl w:val="0"/>
          <w:numId w:val="12"/>
        </w:numPr>
        <w:ind w:left="1080"/>
        <w:rPr>
          <w:rFonts w:eastAsia="Times New Roman"/>
        </w:rPr>
      </w:pPr>
      <w:r>
        <w:t xml:space="preserve">If </w:t>
      </w:r>
      <w:r w:rsidR="00B33420">
        <w:t xml:space="preserve">the Cooperators determine that </w:t>
      </w:r>
      <w:r>
        <w:t xml:space="preserve">a new </w:t>
      </w:r>
      <w:r w:rsidR="00123F81">
        <w:t>W</w:t>
      </w:r>
      <w:r>
        <w:t xml:space="preserve">RF </w:t>
      </w:r>
      <w:r w:rsidR="00B33420">
        <w:t xml:space="preserve">simulation is needed, </w:t>
      </w:r>
      <w:r>
        <w:t>the WRF</w:t>
      </w:r>
      <w:r w:rsidR="00B33420">
        <w:t xml:space="preserve"> simulation will use the</w:t>
      </w:r>
      <w:r w:rsidR="0028637D">
        <w:t xml:space="preserve"> most accurate and representative input data and </w:t>
      </w:r>
      <w:r w:rsidR="00216AB6">
        <w:t>configuration options</w:t>
      </w:r>
      <w:r w:rsidR="0070424C">
        <w:t>, such as different land surface models (LSM)</w:t>
      </w:r>
      <w:r w:rsidR="00F92629" w:rsidRPr="000A3017">
        <w:rPr>
          <w:rFonts w:eastAsia="Times New Roman"/>
        </w:rPr>
        <w:t>.</w:t>
      </w:r>
    </w:p>
    <w:p w14:paraId="063ECDDE" w14:textId="77777777" w:rsidR="007B6A99" w:rsidRPr="000A3017" w:rsidRDefault="007B6A99" w:rsidP="007B6A99">
      <w:pPr>
        <w:pStyle w:val="ListParagraph"/>
        <w:numPr>
          <w:ilvl w:val="0"/>
          <w:numId w:val="12"/>
        </w:numPr>
        <w:ind w:left="1080"/>
      </w:pPr>
      <w:r>
        <w:t xml:space="preserve">Evaluation of the model performance using the </w:t>
      </w:r>
      <w:r w:rsidRPr="000A3017">
        <w:t xml:space="preserve">recommended </w:t>
      </w:r>
      <w:r>
        <w:t xml:space="preserve">analyses </w:t>
      </w:r>
      <w:r w:rsidRPr="000A3017">
        <w:t>by the Cooperating Agencies.</w:t>
      </w:r>
      <w:r w:rsidRPr="000A3017">
        <w:rPr>
          <w:rStyle w:val="FootnoteReference"/>
        </w:rPr>
        <w:footnoteReference w:id="7"/>
      </w:r>
    </w:p>
    <w:p w14:paraId="06CC3853" w14:textId="77777777" w:rsidR="00F92629" w:rsidRDefault="00F92629" w:rsidP="00F92629">
      <w:pPr>
        <w:pStyle w:val="ListParagraph"/>
        <w:ind w:left="1080"/>
      </w:pPr>
    </w:p>
    <w:p w14:paraId="63997DCD" w14:textId="77777777" w:rsidR="00223BD5" w:rsidRDefault="00F92629" w:rsidP="00FC3F86">
      <w:pPr>
        <w:ind w:left="360"/>
      </w:pPr>
      <w:r>
        <w:t xml:space="preserve">The deliverables of the </w:t>
      </w:r>
      <w:r w:rsidR="0072030E">
        <w:t xml:space="preserve">meteorological </w:t>
      </w:r>
      <w:r w:rsidR="006057FA">
        <w:t>work</w:t>
      </w:r>
      <w:r>
        <w:t xml:space="preserve"> include:</w:t>
      </w:r>
    </w:p>
    <w:p w14:paraId="127BFD6A" w14:textId="56DA6504" w:rsidR="009B053D" w:rsidRDefault="00C10763" w:rsidP="00844497">
      <w:pPr>
        <w:pStyle w:val="ListParagraph"/>
        <w:numPr>
          <w:ilvl w:val="0"/>
          <w:numId w:val="23"/>
        </w:numPr>
        <w:ind w:left="1080" w:hanging="450"/>
      </w:pPr>
      <w:r>
        <w:lastRenderedPageBreak/>
        <w:t xml:space="preserve">Updates to the existing WAQS WRF </w:t>
      </w:r>
      <w:r w:rsidR="00F92629">
        <w:t>Protocol</w:t>
      </w:r>
      <w:r>
        <w:rPr>
          <w:rStyle w:val="FootnoteReference"/>
        </w:rPr>
        <w:footnoteReference w:id="8"/>
      </w:r>
      <w:r w:rsidR="00F92629">
        <w:t xml:space="preserve"> outlining specific work objectives, procedures, and activities, type of assistance and information needed from the Cooperating Agencies, and timeframes.</w:t>
      </w:r>
    </w:p>
    <w:p w14:paraId="39B57A1D" w14:textId="77777777" w:rsidR="009B053D" w:rsidRDefault="00F92629" w:rsidP="00844497">
      <w:pPr>
        <w:pStyle w:val="ListParagraph"/>
        <w:numPr>
          <w:ilvl w:val="0"/>
          <w:numId w:val="23"/>
        </w:numPr>
        <w:ind w:left="1080" w:hanging="450"/>
      </w:pPr>
      <w:r>
        <w:t xml:space="preserve">Progress reports outlining completed and upcoming work, challenges, changes to the </w:t>
      </w:r>
      <w:r w:rsidRPr="001B5A4C">
        <w:t>Protocol, and resources.</w:t>
      </w:r>
    </w:p>
    <w:p w14:paraId="021A83A1" w14:textId="480A096C" w:rsidR="0025495F" w:rsidRDefault="0028637D" w:rsidP="00844497">
      <w:pPr>
        <w:pStyle w:val="ListParagraph"/>
        <w:numPr>
          <w:ilvl w:val="0"/>
          <w:numId w:val="23"/>
        </w:numPr>
        <w:ind w:left="1080" w:hanging="450"/>
      </w:pPr>
      <w:r>
        <w:t>MPE</w:t>
      </w:r>
      <w:r w:rsidR="00F92629" w:rsidRPr="001B5A4C">
        <w:t xml:space="preserve"> report</w:t>
      </w:r>
      <w:r w:rsidR="00C10763">
        <w:t xml:space="preserve"> (revised if/as needed)</w:t>
      </w:r>
      <w:r w:rsidR="00F92629" w:rsidRPr="001B5A4C">
        <w:t xml:space="preserve"> characterizing the completeness, representativeness, and uncertainty of </w:t>
      </w:r>
      <w:r>
        <w:t>meteorology</w:t>
      </w:r>
      <w:r w:rsidR="00F92629" w:rsidRPr="001B5A4C">
        <w:t xml:space="preserve">. </w:t>
      </w:r>
    </w:p>
    <w:p w14:paraId="4E3869D7" w14:textId="77777777" w:rsidR="0025495F" w:rsidRDefault="00B94626" w:rsidP="00844497">
      <w:pPr>
        <w:pStyle w:val="ListParagraph"/>
        <w:numPr>
          <w:ilvl w:val="0"/>
          <w:numId w:val="23"/>
        </w:numPr>
        <w:ind w:left="1080" w:hanging="450"/>
      </w:pPr>
      <w:r>
        <w:t>M</w:t>
      </w:r>
      <w:r w:rsidR="00F92629" w:rsidRPr="001B5A4C">
        <w:t>odel-ready files</w:t>
      </w:r>
      <w:r>
        <w:t xml:space="preserve"> for </w:t>
      </w:r>
      <w:r w:rsidR="008E4838">
        <w:t>e</w:t>
      </w:r>
      <w:r>
        <w:t>missions model and PGMs</w:t>
      </w:r>
      <w:r w:rsidR="00F92629" w:rsidRPr="001B5A4C">
        <w:t>.</w:t>
      </w:r>
    </w:p>
    <w:p w14:paraId="65413958" w14:textId="77777777" w:rsidR="0025495F" w:rsidRDefault="00F92629" w:rsidP="00844497">
      <w:pPr>
        <w:pStyle w:val="ListParagraph"/>
        <w:numPr>
          <w:ilvl w:val="0"/>
          <w:numId w:val="23"/>
        </w:numPr>
        <w:ind w:left="1080" w:hanging="450"/>
      </w:pPr>
      <w:r w:rsidRPr="001B5A4C">
        <w:t xml:space="preserve">Final </w:t>
      </w:r>
      <w:r w:rsidR="00A43EFE">
        <w:t>r</w:t>
      </w:r>
      <w:r w:rsidRPr="001B5A4C">
        <w:t xml:space="preserve">eport that addresses the objectives and </w:t>
      </w:r>
      <w:r>
        <w:t>summarizes the work products</w:t>
      </w:r>
      <w:r w:rsidR="00911413">
        <w:t xml:space="preserve"> and lessons learned for building meteorological platform</w:t>
      </w:r>
      <w:r w:rsidRPr="001B5A4C">
        <w:t>.</w:t>
      </w:r>
    </w:p>
    <w:p w14:paraId="1241C674" w14:textId="77777777" w:rsidR="00BE3CC6" w:rsidRDefault="00F92629" w:rsidP="00844497">
      <w:pPr>
        <w:pStyle w:val="ListParagraph"/>
        <w:numPr>
          <w:ilvl w:val="0"/>
          <w:numId w:val="23"/>
        </w:numPr>
        <w:ind w:left="1080" w:hanging="450"/>
      </w:pPr>
      <w:r w:rsidRPr="001B5A4C">
        <w:t>Tr</w:t>
      </w:r>
      <w:r w:rsidR="0028637D">
        <w:t>ansfer all files</w:t>
      </w:r>
      <w:r>
        <w:t xml:space="preserve"> and work products</w:t>
      </w:r>
      <w:r w:rsidRPr="001B5A4C">
        <w:t xml:space="preserve"> to </w:t>
      </w:r>
      <w:r w:rsidR="00274B06">
        <w:t xml:space="preserve">the </w:t>
      </w:r>
      <w:r w:rsidRPr="001B5A4C">
        <w:t>IWDW.</w:t>
      </w:r>
    </w:p>
    <w:p w14:paraId="5468AA67" w14:textId="77777777" w:rsidR="00887236" w:rsidRDefault="00887236" w:rsidP="00483DE9"/>
    <w:p w14:paraId="0CD16141" w14:textId="77777777" w:rsidR="00CD3EFC" w:rsidRDefault="00CD3EFC" w:rsidP="00FC3F86">
      <w:pPr>
        <w:pStyle w:val="ListParagraph"/>
        <w:numPr>
          <w:ilvl w:val="0"/>
          <w:numId w:val="1"/>
        </w:numPr>
        <w:tabs>
          <w:tab w:val="left" w:pos="360"/>
        </w:tabs>
      </w:pPr>
      <w:r>
        <w:t>Emissions Modeling</w:t>
      </w:r>
      <w:r w:rsidR="004E737E">
        <w:t xml:space="preserve"> </w:t>
      </w:r>
    </w:p>
    <w:p w14:paraId="578CA253" w14:textId="77777777" w:rsidR="00CD3EFC" w:rsidRDefault="00CD3EFC" w:rsidP="00CD3EFC">
      <w:pPr>
        <w:pStyle w:val="ListParagraph"/>
        <w:ind w:left="792"/>
      </w:pPr>
    </w:p>
    <w:p w14:paraId="493C3CB5" w14:textId="6E108023" w:rsidR="00FC3F86" w:rsidRDefault="00B94626" w:rsidP="00FC3F86">
      <w:pPr>
        <w:ind w:left="360"/>
        <w:rPr>
          <w:rFonts w:eastAsia="Times New Roman"/>
        </w:rPr>
      </w:pPr>
      <w:r>
        <w:t xml:space="preserve">The emissions inventories need to be processed and formatted for the PGMs </w:t>
      </w:r>
      <w:r w:rsidR="006F3D72">
        <w:t>to</w:t>
      </w:r>
      <w:r>
        <w:t xml:space="preserve"> predict air quality impacts. The latest version of</w:t>
      </w:r>
      <w:r w:rsidRPr="00B94626">
        <w:rPr>
          <w:rFonts w:eastAsia="Times New Roman"/>
        </w:rPr>
        <w:t xml:space="preserve"> the Sparse Matrix Operator Kernel Emissions (SMOKE)</w:t>
      </w:r>
      <w:r>
        <w:rPr>
          <w:rFonts w:eastAsia="Times New Roman"/>
        </w:rPr>
        <w:t xml:space="preserve"> model should be used to process the emissions for </w:t>
      </w:r>
      <w:r w:rsidR="00FC3F86">
        <w:rPr>
          <w:rFonts w:eastAsia="Times New Roman"/>
        </w:rPr>
        <w:t>the</w:t>
      </w:r>
      <w:r w:rsidR="00B8300D">
        <w:rPr>
          <w:rFonts w:eastAsia="Times New Roman"/>
        </w:rPr>
        <w:t xml:space="preserve"> </w:t>
      </w:r>
      <w:r>
        <w:rPr>
          <w:rFonts w:eastAsia="Times New Roman"/>
        </w:rPr>
        <w:t>PGMs.</w:t>
      </w:r>
    </w:p>
    <w:p w14:paraId="26F1D242" w14:textId="77777777" w:rsidR="00FC3F86" w:rsidRDefault="00FC3F86" w:rsidP="00FC3F86">
      <w:pPr>
        <w:ind w:left="360"/>
        <w:rPr>
          <w:rFonts w:eastAsia="Times New Roman"/>
        </w:rPr>
      </w:pPr>
    </w:p>
    <w:p w14:paraId="261BF409" w14:textId="77777777" w:rsidR="00223BD5" w:rsidRPr="00FC3F86" w:rsidRDefault="00911413" w:rsidP="00FC3F86">
      <w:pPr>
        <w:ind w:left="360"/>
        <w:rPr>
          <w:rFonts w:eastAsia="Times New Roman"/>
        </w:rPr>
      </w:pPr>
      <w:r>
        <w:t>The general objective of the emissions modeling work include</w:t>
      </w:r>
      <w:r w:rsidR="006057FA">
        <w:t>s</w:t>
      </w:r>
      <w:r>
        <w:t xml:space="preserve"> the development of emissions files</w:t>
      </w:r>
      <w:r w:rsidR="00FC3F86">
        <w:t xml:space="preserve"> for</w:t>
      </w:r>
      <w:r>
        <w:t xml:space="preserve"> the PGMs</w:t>
      </w:r>
      <w:r w:rsidR="00CC6502">
        <w:t xml:space="preserve"> for the calendar years specified in section VI above</w:t>
      </w:r>
      <w:r>
        <w:t>. The approach for accomplishing this objective include</w:t>
      </w:r>
      <w:r w:rsidR="006057FA">
        <w:t>s</w:t>
      </w:r>
      <w:r>
        <w:t>:</w:t>
      </w:r>
    </w:p>
    <w:p w14:paraId="196DD0BE" w14:textId="77777777" w:rsidR="00911413" w:rsidRDefault="00911413" w:rsidP="00FC3F86">
      <w:pPr>
        <w:pStyle w:val="ListParagraph"/>
        <w:numPr>
          <w:ilvl w:val="0"/>
          <w:numId w:val="14"/>
        </w:numPr>
        <w:ind w:left="1080"/>
      </w:pPr>
      <w:r>
        <w:t>Review previous emissions modeling work for lessons learned and to build upon for new work.</w:t>
      </w:r>
    </w:p>
    <w:p w14:paraId="24EDC9D7" w14:textId="77777777" w:rsidR="00FB6D5E" w:rsidRPr="00FB6D5E" w:rsidRDefault="00911413" w:rsidP="00FC3F86">
      <w:pPr>
        <w:pStyle w:val="ListParagraph"/>
        <w:numPr>
          <w:ilvl w:val="0"/>
          <w:numId w:val="14"/>
        </w:numPr>
        <w:ind w:left="1080"/>
        <w:rPr>
          <w:rFonts w:eastAsia="Times New Roman"/>
        </w:rPr>
      </w:pPr>
      <w:r>
        <w:t xml:space="preserve">Running </w:t>
      </w:r>
      <w:r w:rsidR="00FB6D5E">
        <w:t>SMOKE</w:t>
      </w:r>
      <w:r>
        <w:t xml:space="preserve"> with the most accurate and representative input data and configuration options</w:t>
      </w:r>
      <w:r w:rsidRPr="000A3017">
        <w:rPr>
          <w:rFonts w:eastAsia="Times New Roman"/>
        </w:rPr>
        <w:t>.</w:t>
      </w:r>
    </w:p>
    <w:p w14:paraId="5164F527" w14:textId="77777777" w:rsidR="00911413" w:rsidRDefault="00911413" w:rsidP="00911413">
      <w:pPr>
        <w:pStyle w:val="ListParagraph"/>
        <w:ind w:left="1080"/>
      </w:pPr>
    </w:p>
    <w:p w14:paraId="291DADEA" w14:textId="77777777" w:rsidR="00223BD5" w:rsidRDefault="00911413" w:rsidP="00FC3F86">
      <w:pPr>
        <w:ind w:left="360"/>
      </w:pPr>
      <w:r>
        <w:t xml:space="preserve">The deliverables of the emissions </w:t>
      </w:r>
      <w:r w:rsidR="0072030E">
        <w:t>modeling</w:t>
      </w:r>
      <w:r>
        <w:t xml:space="preserve"> work include:</w:t>
      </w:r>
    </w:p>
    <w:p w14:paraId="72A5AE31" w14:textId="77777777" w:rsidR="00911413" w:rsidRDefault="00911413" w:rsidP="00FC3F86">
      <w:pPr>
        <w:pStyle w:val="ListParagraph"/>
        <w:numPr>
          <w:ilvl w:val="0"/>
          <w:numId w:val="15"/>
        </w:numPr>
        <w:ind w:left="1080"/>
      </w:pPr>
      <w:r>
        <w:t>Protocol outlining specific work objectives, procedures, and activities, type of assistance and information needed from the Cooperating Agencies, and timeframes.</w:t>
      </w:r>
    </w:p>
    <w:p w14:paraId="591872E1" w14:textId="77777777" w:rsidR="00911413" w:rsidRPr="001B5A4C" w:rsidRDefault="00911413" w:rsidP="00FC3F86">
      <w:pPr>
        <w:pStyle w:val="ListParagraph"/>
        <w:numPr>
          <w:ilvl w:val="0"/>
          <w:numId w:val="15"/>
        </w:numPr>
        <w:ind w:left="1080"/>
      </w:pPr>
      <w:r>
        <w:t xml:space="preserve">Progress reports outlining completed and upcoming work, challenges, changes to the </w:t>
      </w:r>
      <w:r w:rsidRPr="001B5A4C">
        <w:t>Protocol, and resources.</w:t>
      </w:r>
    </w:p>
    <w:p w14:paraId="19FBFCEE" w14:textId="77777777" w:rsidR="00911413" w:rsidRPr="001B5A4C" w:rsidRDefault="00911413" w:rsidP="00FC3F86">
      <w:pPr>
        <w:pStyle w:val="ListParagraph"/>
        <w:numPr>
          <w:ilvl w:val="0"/>
          <w:numId w:val="15"/>
        </w:numPr>
        <w:ind w:left="1080"/>
      </w:pPr>
      <w:r>
        <w:t>M</w:t>
      </w:r>
      <w:r w:rsidRPr="001B5A4C">
        <w:t>odel-ready files</w:t>
      </w:r>
      <w:r>
        <w:t xml:space="preserve"> for PGMs</w:t>
      </w:r>
      <w:r w:rsidRPr="001B5A4C">
        <w:t>.</w:t>
      </w:r>
    </w:p>
    <w:p w14:paraId="7322EC1B" w14:textId="77777777" w:rsidR="00911413" w:rsidRDefault="00911413" w:rsidP="00FC3F86">
      <w:pPr>
        <w:pStyle w:val="ListParagraph"/>
        <w:numPr>
          <w:ilvl w:val="0"/>
          <w:numId w:val="15"/>
        </w:numPr>
        <w:ind w:left="1080"/>
      </w:pPr>
      <w:r w:rsidRPr="001B5A4C">
        <w:t xml:space="preserve">Final Report that addresses the objectives and </w:t>
      </w:r>
      <w:r>
        <w:t>summarizes the work products</w:t>
      </w:r>
      <w:r w:rsidR="00FB6D5E">
        <w:t xml:space="preserve"> and lessons learned to build the emissions modeling platform</w:t>
      </w:r>
      <w:r w:rsidRPr="001B5A4C">
        <w:t>.</w:t>
      </w:r>
    </w:p>
    <w:p w14:paraId="1DC8CA1C" w14:textId="77777777" w:rsidR="00911413" w:rsidRPr="00E23691" w:rsidRDefault="00911413" w:rsidP="00FC3F86">
      <w:pPr>
        <w:pStyle w:val="ListParagraph"/>
        <w:numPr>
          <w:ilvl w:val="0"/>
          <w:numId w:val="15"/>
        </w:numPr>
        <w:ind w:left="1080"/>
      </w:pPr>
      <w:r w:rsidRPr="00E23691">
        <w:t xml:space="preserve">Transfer all files and work products to </w:t>
      </w:r>
      <w:r w:rsidR="00274B06">
        <w:t xml:space="preserve">the </w:t>
      </w:r>
      <w:r w:rsidRPr="00E23691">
        <w:t>IWDW.</w:t>
      </w:r>
    </w:p>
    <w:p w14:paraId="3AFE6937" w14:textId="77777777" w:rsidR="00911413" w:rsidRDefault="00911413" w:rsidP="00911413"/>
    <w:p w14:paraId="4D17430A" w14:textId="77777777" w:rsidR="00152A5D" w:rsidRPr="00E23691" w:rsidRDefault="00B86AD5" w:rsidP="00FC3F86">
      <w:pPr>
        <w:pStyle w:val="ListParagraph"/>
        <w:numPr>
          <w:ilvl w:val="0"/>
          <w:numId w:val="1"/>
        </w:numPr>
      </w:pPr>
      <w:r>
        <w:t xml:space="preserve">Base Year and Baseline </w:t>
      </w:r>
      <w:r w:rsidR="00152A5D" w:rsidRPr="00E23691">
        <w:t>Air Quality Modeling</w:t>
      </w:r>
    </w:p>
    <w:p w14:paraId="1073AB3B" w14:textId="77777777" w:rsidR="0034317E" w:rsidRPr="00181630" w:rsidRDefault="0034317E" w:rsidP="0034317E">
      <w:pPr>
        <w:pStyle w:val="ListParagraph"/>
        <w:ind w:left="792"/>
      </w:pPr>
    </w:p>
    <w:p w14:paraId="407CACAF" w14:textId="1F71A4D8" w:rsidR="00FC3F86" w:rsidRDefault="00E22BAB" w:rsidP="00FC3F86">
      <w:pPr>
        <w:ind w:left="360"/>
      </w:pPr>
      <w:r>
        <w:t xml:space="preserve">The </w:t>
      </w:r>
      <w:r w:rsidR="00271A29">
        <w:t>IWDW-WAQS</w:t>
      </w:r>
      <w:r w:rsidR="00BE127B">
        <w:t xml:space="preserve"> will</w:t>
      </w:r>
      <w:r w:rsidR="007E0799">
        <w:t xml:space="preserve"> complete</w:t>
      </w:r>
      <w:r w:rsidR="00BE127B">
        <w:t xml:space="preserve"> the base </w:t>
      </w:r>
      <w:r w:rsidR="00B86AD5">
        <w:t>year and baseline modeling</w:t>
      </w:r>
      <w:r w:rsidR="00BE127B">
        <w:t xml:space="preserve">, </w:t>
      </w:r>
      <w:r w:rsidR="00FC3F86">
        <w:t xml:space="preserve">complete the </w:t>
      </w:r>
      <w:r w:rsidR="00BE127B">
        <w:t xml:space="preserve">MPE, and </w:t>
      </w:r>
      <w:r w:rsidR="00532AE5">
        <w:t xml:space="preserve">provide </w:t>
      </w:r>
      <w:r w:rsidR="00BE127B">
        <w:t>model input</w:t>
      </w:r>
      <w:r w:rsidR="00532AE5">
        <w:t xml:space="preserve"> files for users </w:t>
      </w:r>
      <w:r w:rsidR="00917AED">
        <w:t xml:space="preserve">to </w:t>
      </w:r>
      <w:r w:rsidR="00532AE5">
        <w:t xml:space="preserve">run the PGMs for individual </w:t>
      </w:r>
      <w:r w:rsidR="00917AED">
        <w:t xml:space="preserve">air quality </w:t>
      </w:r>
      <w:r w:rsidR="00532AE5">
        <w:t>projects</w:t>
      </w:r>
      <w:r w:rsidR="00BE127B">
        <w:t>.</w:t>
      </w:r>
      <w:r w:rsidR="00FC3F86">
        <w:t xml:space="preserve"> </w:t>
      </w:r>
      <w:r w:rsidR="007E0799">
        <w:t>T</w:t>
      </w:r>
      <w:r w:rsidR="007E0799" w:rsidRPr="00181630">
        <w:t xml:space="preserve">o give the </w:t>
      </w:r>
      <w:r w:rsidR="007E0799">
        <w:t>Cooperating Agencies</w:t>
      </w:r>
      <w:r w:rsidR="007E0799" w:rsidRPr="00181630">
        <w:t xml:space="preserve"> and their contractors more flexibility</w:t>
      </w:r>
      <w:r w:rsidR="007E0799">
        <w:t xml:space="preserve">, </w:t>
      </w:r>
      <w:r w:rsidR="00BE127B">
        <w:t xml:space="preserve">the </w:t>
      </w:r>
      <w:r w:rsidR="00271A29">
        <w:t>IWDW-WAQS</w:t>
      </w:r>
      <w:r w:rsidR="00BE127B">
        <w:t xml:space="preserve"> will</w:t>
      </w:r>
      <w:r w:rsidR="00F364F2">
        <w:t xml:space="preserve"> run</w:t>
      </w:r>
      <w:r w:rsidR="0034317E" w:rsidRPr="00181630">
        <w:t xml:space="preserve"> </w:t>
      </w:r>
      <w:r w:rsidR="00F364F2">
        <w:t xml:space="preserve">both </w:t>
      </w:r>
      <w:r w:rsidR="0034317E" w:rsidRPr="00181630">
        <w:t xml:space="preserve">the CMAQ model </w:t>
      </w:r>
      <w:r w:rsidR="00F364F2">
        <w:t>and</w:t>
      </w:r>
      <w:r w:rsidR="00B94B18">
        <w:t>/or</w:t>
      </w:r>
      <w:r w:rsidR="0034317E" w:rsidRPr="00181630">
        <w:t xml:space="preserve"> CAMx model</w:t>
      </w:r>
      <w:r w:rsidR="00B94B18">
        <w:t>, depending upon funding available at the point in time for the tasks in this workplan when that decision needs to be made</w:t>
      </w:r>
      <w:r w:rsidR="0034317E" w:rsidRPr="00181630">
        <w:t>.</w:t>
      </w:r>
      <w:r w:rsidR="00FC3F86">
        <w:t xml:space="preserve"> T</w:t>
      </w:r>
      <w:r w:rsidR="00BE127B">
        <w:t>he Cooperating Agencies will</w:t>
      </w:r>
      <w:r w:rsidR="00FC3F86">
        <w:t xml:space="preserve"> also</w:t>
      </w:r>
      <w:r w:rsidR="00BE127B">
        <w:t xml:space="preserve"> review the advances made to the PGMs t</w:t>
      </w:r>
      <w:r w:rsidR="0034317E" w:rsidRPr="00181630">
        <w:t xml:space="preserve">o ensure the models can characterize and predict air quality </w:t>
      </w:r>
      <w:r w:rsidR="0034317E" w:rsidRPr="00181630">
        <w:lastRenderedPageBreak/>
        <w:t>impacts at a high</w:t>
      </w:r>
      <w:r w:rsidR="008E4838">
        <w:t xml:space="preserve"> </w:t>
      </w:r>
      <w:r w:rsidR="0034317E" w:rsidRPr="00181630">
        <w:t>level of accuracy</w:t>
      </w:r>
      <w:r w:rsidR="00BE127B">
        <w:t xml:space="preserve"> and</w:t>
      </w:r>
      <w:r w:rsidR="0034317E" w:rsidRPr="00181630">
        <w:t xml:space="preserve"> to determine whether model improvements and additional model simulations are necessary.</w:t>
      </w:r>
    </w:p>
    <w:p w14:paraId="09F97C89" w14:textId="77777777" w:rsidR="00FC3F86" w:rsidRDefault="00FC3F86" w:rsidP="00FC3F86">
      <w:pPr>
        <w:ind w:left="360"/>
      </w:pPr>
    </w:p>
    <w:p w14:paraId="432B47C5" w14:textId="77777777" w:rsidR="00B86AD5" w:rsidRPr="004E737E" w:rsidRDefault="00BE127B" w:rsidP="00FC3F86">
      <w:pPr>
        <w:ind w:left="360"/>
      </w:pPr>
      <w:r>
        <w:t xml:space="preserve">The </w:t>
      </w:r>
      <w:r w:rsidRPr="004E737E">
        <w:t>objective</w:t>
      </w:r>
      <w:r w:rsidR="00917AED" w:rsidRPr="004E737E">
        <w:t>s</w:t>
      </w:r>
      <w:r w:rsidRPr="004E737E">
        <w:t xml:space="preserve"> of the </w:t>
      </w:r>
      <w:r w:rsidR="00917AED" w:rsidRPr="004E737E">
        <w:t>air quality modeling</w:t>
      </w:r>
      <w:r w:rsidRPr="004E737E">
        <w:t xml:space="preserve"> work</w:t>
      </w:r>
      <w:r w:rsidR="00FC3F86">
        <w:t xml:space="preserve"> </w:t>
      </w:r>
      <w:r w:rsidRPr="004E737E">
        <w:t>include</w:t>
      </w:r>
      <w:r w:rsidR="002B6F03" w:rsidRPr="004E737E">
        <w:t>:</w:t>
      </w:r>
    </w:p>
    <w:p w14:paraId="6E6D2CA7" w14:textId="401FD6A1" w:rsidR="00DE2D85" w:rsidRDefault="002B6F03" w:rsidP="00844497">
      <w:pPr>
        <w:pStyle w:val="ListParagraph"/>
        <w:numPr>
          <w:ilvl w:val="0"/>
          <w:numId w:val="24"/>
        </w:numPr>
        <w:ind w:left="1080"/>
      </w:pPr>
      <w:r w:rsidRPr="004E737E">
        <w:t>Develop and</w:t>
      </w:r>
      <w:r>
        <w:t xml:space="preserve"> evaluate base </w:t>
      </w:r>
      <w:r w:rsidR="00B86AD5">
        <w:t>year</w:t>
      </w:r>
      <w:r>
        <w:t xml:space="preserve"> CMAQ </w:t>
      </w:r>
      <w:r w:rsidR="00CB09FD">
        <w:t>and</w:t>
      </w:r>
      <w:r w:rsidR="00B94B18">
        <w:t>/or</w:t>
      </w:r>
      <w:r w:rsidR="00CB09FD">
        <w:t xml:space="preserve"> CAMx </w:t>
      </w:r>
      <w:r>
        <w:t>platform</w:t>
      </w:r>
      <w:r w:rsidR="00CB09FD">
        <w:t>s</w:t>
      </w:r>
      <w:r w:rsidR="00B94B18">
        <w:t>, both if funding allows</w:t>
      </w:r>
      <w:r w:rsidR="00CB09FD">
        <w:t>.</w:t>
      </w:r>
    </w:p>
    <w:p w14:paraId="6D56E592" w14:textId="5946A555" w:rsidR="00DE2D85" w:rsidRDefault="002B6F03" w:rsidP="00844497">
      <w:pPr>
        <w:pStyle w:val="ListParagraph"/>
        <w:numPr>
          <w:ilvl w:val="0"/>
          <w:numId w:val="24"/>
        </w:numPr>
        <w:ind w:left="1080"/>
      </w:pPr>
      <w:r>
        <w:t xml:space="preserve">Provide a detailed assessment of the base </w:t>
      </w:r>
      <w:r w:rsidR="00B86AD5">
        <w:t xml:space="preserve">year </w:t>
      </w:r>
      <w:r>
        <w:t>CMAQ and</w:t>
      </w:r>
      <w:r w:rsidR="00B94B18">
        <w:t>/or</w:t>
      </w:r>
      <w:r>
        <w:t xml:space="preserve"> CAMx platforms for the National Ambient Air Quality Standards (NAAQS) pollutants and AQRVs (i.e., visibility and deposition)</w:t>
      </w:r>
      <w:r w:rsidR="009F1094">
        <w:t>, including quantitative evaluation of background and transport</w:t>
      </w:r>
      <w:r w:rsidR="00077D0A">
        <w:t>.</w:t>
      </w:r>
    </w:p>
    <w:p w14:paraId="39B20940" w14:textId="77777777" w:rsidR="00917AED" w:rsidRDefault="00917AED" w:rsidP="00917AED">
      <w:pPr>
        <w:ind w:left="360"/>
      </w:pPr>
    </w:p>
    <w:p w14:paraId="7E19B5C9" w14:textId="77777777" w:rsidR="00B86AD5" w:rsidRDefault="00BE127B" w:rsidP="00463DBE">
      <w:pPr>
        <w:ind w:left="360"/>
      </w:pPr>
      <w:r>
        <w:t>The approach for accomplishing this objective include</w:t>
      </w:r>
      <w:r w:rsidR="0009545E">
        <w:t>s</w:t>
      </w:r>
      <w:r>
        <w:t>:</w:t>
      </w:r>
    </w:p>
    <w:p w14:paraId="3B5FE28C" w14:textId="6DCDB015" w:rsidR="00BE127B" w:rsidRPr="00457C9E" w:rsidRDefault="00BE127B" w:rsidP="00457C9E">
      <w:pPr>
        <w:pStyle w:val="ListParagraph"/>
        <w:numPr>
          <w:ilvl w:val="0"/>
          <w:numId w:val="20"/>
        </w:numPr>
        <w:ind w:left="1080"/>
        <w:rPr>
          <w:rFonts w:eastAsia="Times New Roman"/>
        </w:rPr>
      </w:pPr>
      <w:r>
        <w:t xml:space="preserve">Review previous </w:t>
      </w:r>
      <w:r w:rsidR="002B6F03">
        <w:t>air quality</w:t>
      </w:r>
      <w:r>
        <w:t xml:space="preserve"> modeling work for lessons learned and to build upon for new work.</w:t>
      </w:r>
    </w:p>
    <w:p w14:paraId="6882D884" w14:textId="77777777" w:rsidR="00BE127B" w:rsidRPr="000A3017" w:rsidRDefault="00BE127B" w:rsidP="00463DBE">
      <w:pPr>
        <w:pStyle w:val="ListParagraph"/>
        <w:numPr>
          <w:ilvl w:val="0"/>
          <w:numId w:val="20"/>
        </w:numPr>
        <w:ind w:left="1080"/>
      </w:pPr>
      <w:r>
        <w:t>Evaluation of the</w:t>
      </w:r>
      <w:r w:rsidR="00AA646C">
        <w:t xml:space="preserve"> </w:t>
      </w:r>
      <w:r w:rsidR="00A56AB1">
        <w:t xml:space="preserve">PGM </w:t>
      </w:r>
      <w:r>
        <w:t xml:space="preserve">performance using the </w:t>
      </w:r>
      <w:r w:rsidRPr="000A3017">
        <w:t xml:space="preserve">recommended </w:t>
      </w:r>
      <w:r>
        <w:t xml:space="preserve">analyses </w:t>
      </w:r>
      <w:r w:rsidRPr="000A3017">
        <w:t>by the Cooperating Agencies.</w:t>
      </w:r>
      <w:r w:rsidRPr="000A3017">
        <w:rPr>
          <w:rStyle w:val="FootnoteReference"/>
        </w:rPr>
        <w:footnoteReference w:id="9"/>
      </w:r>
    </w:p>
    <w:p w14:paraId="7EB940FA" w14:textId="094D6614" w:rsidR="00BF26C4" w:rsidRDefault="00BF26C4" w:rsidP="00463DBE">
      <w:pPr>
        <w:pStyle w:val="ListParagraph"/>
        <w:numPr>
          <w:ilvl w:val="0"/>
          <w:numId w:val="20"/>
        </w:numPr>
        <w:ind w:left="1080"/>
        <w:rPr>
          <w:rFonts w:eastAsia="Times New Roman"/>
        </w:rPr>
      </w:pPr>
      <w:r>
        <w:rPr>
          <w:rFonts w:eastAsia="Times New Roman"/>
        </w:rPr>
        <w:t>Comparison of CMAQ and CAMx model results</w:t>
      </w:r>
      <w:r w:rsidR="00B94B18">
        <w:rPr>
          <w:rFonts w:eastAsia="Times New Roman"/>
        </w:rPr>
        <w:t>, if both are developed</w:t>
      </w:r>
      <w:r>
        <w:rPr>
          <w:rFonts w:eastAsia="Times New Roman"/>
        </w:rPr>
        <w:t>.</w:t>
      </w:r>
    </w:p>
    <w:p w14:paraId="06765B6F" w14:textId="77777777" w:rsidR="00457C9E" w:rsidRDefault="00457C9E" w:rsidP="00576BB1">
      <w:pPr>
        <w:ind w:left="360"/>
      </w:pPr>
    </w:p>
    <w:p w14:paraId="6F2D0E7B" w14:textId="5BBD4113" w:rsidR="00B86AD5" w:rsidRDefault="00BE127B" w:rsidP="00576BB1">
      <w:pPr>
        <w:ind w:left="360"/>
      </w:pPr>
      <w:r>
        <w:t xml:space="preserve">The deliverables of the </w:t>
      </w:r>
      <w:r w:rsidR="0072030E">
        <w:t>air quality modeling</w:t>
      </w:r>
      <w:r>
        <w:t xml:space="preserve"> work include:</w:t>
      </w:r>
    </w:p>
    <w:p w14:paraId="2E91724E" w14:textId="77777777" w:rsidR="00BE127B" w:rsidRDefault="00BE127B" w:rsidP="00576BB1">
      <w:pPr>
        <w:pStyle w:val="ListParagraph"/>
        <w:numPr>
          <w:ilvl w:val="0"/>
          <w:numId w:val="19"/>
        </w:numPr>
        <w:ind w:left="1080"/>
      </w:pPr>
      <w:r>
        <w:t>Protocol outlining specific work objectives, procedures, and activities, type of assistance and information needed from the Cooperating Agencies, and timeframes.</w:t>
      </w:r>
    </w:p>
    <w:p w14:paraId="1CDAEA49" w14:textId="77777777" w:rsidR="00BE127B" w:rsidRPr="001B5A4C" w:rsidRDefault="00BE127B" w:rsidP="00576BB1">
      <w:pPr>
        <w:pStyle w:val="ListParagraph"/>
        <w:numPr>
          <w:ilvl w:val="0"/>
          <w:numId w:val="19"/>
        </w:numPr>
        <w:ind w:left="1080"/>
      </w:pPr>
      <w:r>
        <w:t xml:space="preserve">Progress reports outlining completed and upcoming work, challenges, changes to the </w:t>
      </w:r>
      <w:r w:rsidR="00C35284">
        <w:t>p</w:t>
      </w:r>
      <w:r w:rsidR="00C35284" w:rsidRPr="001B5A4C">
        <w:t>rotocol</w:t>
      </w:r>
      <w:r w:rsidRPr="001B5A4C">
        <w:t>, and resources.</w:t>
      </w:r>
    </w:p>
    <w:p w14:paraId="155AC518" w14:textId="606452E8" w:rsidR="00BE127B" w:rsidRPr="001B5A4C" w:rsidRDefault="00BE127B" w:rsidP="00576BB1">
      <w:pPr>
        <w:pStyle w:val="ListParagraph"/>
        <w:numPr>
          <w:ilvl w:val="0"/>
          <w:numId w:val="19"/>
        </w:numPr>
        <w:ind w:left="1080"/>
      </w:pPr>
      <w:r>
        <w:t>MPE</w:t>
      </w:r>
      <w:r w:rsidRPr="001B5A4C">
        <w:t xml:space="preserve"> report characterizing the completeness, representativeness, and uncertainty of </w:t>
      </w:r>
      <w:r w:rsidR="00A56AB1">
        <w:t>the PGMs</w:t>
      </w:r>
      <w:r w:rsidRPr="001B5A4C">
        <w:t>.</w:t>
      </w:r>
      <w:r w:rsidR="00A56AB1">
        <w:t xml:space="preserve"> The report should also outline any performance issues and recommend </w:t>
      </w:r>
      <w:r w:rsidR="00E9206F">
        <w:t xml:space="preserve">specific configuration of </w:t>
      </w:r>
      <w:r w:rsidR="00A56AB1">
        <w:t xml:space="preserve">sensitivity tests to inform model improvements. </w:t>
      </w:r>
    </w:p>
    <w:p w14:paraId="5647E3A3" w14:textId="77777777" w:rsidR="00BE127B" w:rsidRDefault="00BE127B" w:rsidP="00576BB1">
      <w:pPr>
        <w:pStyle w:val="ListParagraph"/>
        <w:numPr>
          <w:ilvl w:val="0"/>
          <w:numId w:val="19"/>
        </w:numPr>
        <w:ind w:left="1080"/>
      </w:pPr>
      <w:r w:rsidRPr="001B5A4C">
        <w:t xml:space="preserve">Final </w:t>
      </w:r>
      <w:r w:rsidR="00C35284">
        <w:t>r</w:t>
      </w:r>
      <w:r w:rsidR="00C35284" w:rsidRPr="001B5A4C">
        <w:t xml:space="preserve">eport </w:t>
      </w:r>
      <w:r w:rsidRPr="001B5A4C">
        <w:t xml:space="preserve">that addresses the objectives and </w:t>
      </w:r>
      <w:r>
        <w:t>summarizes the work products</w:t>
      </w:r>
      <w:r w:rsidR="00BF26C4">
        <w:t>,</w:t>
      </w:r>
      <w:r>
        <w:t xml:space="preserve"> lessons learned for building </w:t>
      </w:r>
      <w:r w:rsidR="00A56AB1">
        <w:t>the air quality model</w:t>
      </w:r>
      <w:r>
        <w:t xml:space="preserve"> platform</w:t>
      </w:r>
      <w:r w:rsidR="00A56AB1">
        <w:t>s</w:t>
      </w:r>
      <w:r w:rsidR="00BF26C4">
        <w:t>, and when/how the PGMs should be used in future air quality projects</w:t>
      </w:r>
      <w:r w:rsidRPr="001B5A4C">
        <w:t>.</w:t>
      </w:r>
    </w:p>
    <w:p w14:paraId="1EF4CDB7" w14:textId="77777777" w:rsidR="002B6F03" w:rsidRDefault="00BE127B" w:rsidP="00576BB1">
      <w:pPr>
        <w:pStyle w:val="ListParagraph"/>
        <w:numPr>
          <w:ilvl w:val="0"/>
          <w:numId w:val="19"/>
        </w:numPr>
        <w:ind w:left="1080"/>
      </w:pPr>
      <w:r w:rsidRPr="001B5A4C">
        <w:t>Tr</w:t>
      </w:r>
      <w:r>
        <w:t>ansfer all files and work products</w:t>
      </w:r>
      <w:r w:rsidRPr="001B5A4C">
        <w:t xml:space="preserve"> to </w:t>
      </w:r>
      <w:r w:rsidR="00274B06">
        <w:t xml:space="preserve">the </w:t>
      </w:r>
      <w:r w:rsidRPr="001B5A4C">
        <w:t>IWDW.</w:t>
      </w:r>
    </w:p>
    <w:p w14:paraId="3084B5BB" w14:textId="77777777" w:rsidR="002B6F03" w:rsidRDefault="002B6F03" w:rsidP="002B6F03">
      <w:pPr>
        <w:pStyle w:val="ListParagraph"/>
        <w:ind w:left="360"/>
      </w:pPr>
    </w:p>
    <w:p w14:paraId="6E3C8F03" w14:textId="77777777" w:rsidR="00AC281F" w:rsidRPr="00474002" w:rsidRDefault="00AC281F" w:rsidP="00AC281F">
      <w:pPr>
        <w:pStyle w:val="ListParagraph"/>
        <w:numPr>
          <w:ilvl w:val="0"/>
          <w:numId w:val="1"/>
        </w:numPr>
      </w:pPr>
      <w:r w:rsidRPr="00474002">
        <w:t>Source Apportionment Modeling</w:t>
      </w:r>
    </w:p>
    <w:p w14:paraId="24475C41" w14:textId="77777777" w:rsidR="00AC281F" w:rsidRPr="00181630" w:rsidRDefault="00AC281F" w:rsidP="00AC281F">
      <w:pPr>
        <w:pStyle w:val="ListParagraph"/>
        <w:ind w:left="792"/>
      </w:pPr>
    </w:p>
    <w:p w14:paraId="60AAEE52" w14:textId="4E1AF359" w:rsidR="002E78DD" w:rsidRDefault="002E78DD" w:rsidP="00000904">
      <w:pPr>
        <w:pStyle w:val="ListParagraph"/>
        <w:ind w:left="360"/>
      </w:pPr>
      <w:r>
        <w:t>Source attribution has been used to support various policy purposes</w:t>
      </w:r>
      <w:r w:rsidR="00DF40AC">
        <w:t xml:space="preserve"> under the </w:t>
      </w:r>
      <w:r w:rsidR="003E4C89">
        <w:t>CAA</w:t>
      </w:r>
      <w:r>
        <w:t xml:space="preserve">. Common scientific applications </w:t>
      </w:r>
      <w:r w:rsidRPr="00A82DC2">
        <w:t xml:space="preserve">include tracking intercontinental transport of ozone and ozone precursors and delineating anthropogenic and non-anthropogenic contribution to ozone </w:t>
      </w:r>
      <w:r w:rsidR="00A678A3">
        <w:t xml:space="preserve">and regional haze </w:t>
      </w:r>
      <w:r w:rsidRPr="00A82DC2">
        <w:t>in North America.</w:t>
      </w:r>
      <w:r w:rsidR="00A82DC2">
        <w:t xml:space="preserve"> </w:t>
      </w:r>
      <w:r w:rsidR="00A82DC2" w:rsidRPr="00A82DC2">
        <w:t xml:space="preserve">Separate source apportionment contributions from </w:t>
      </w:r>
      <w:r w:rsidR="00A82DC2">
        <w:t>NEPA</w:t>
      </w:r>
      <w:r w:rsidR="00DF40AC">
        <w:t xml:space="preserve"> planning and project area</w:t>
      </w:r>
      <w:r w:rsidR="00A82DC2" w:rsidRPr="00A82DC2">
        <w:t xml:space="preserve">s </w:t>
      </w:r>
      <w:r w:rsidR="00A82DC2">
        <w:t xml:space="preserve">are also assessed </w:t>
      </w:r>
      <w:r w:rsidR="00A82DC2" w:rsidRPr="00A82DC2">
        <w:t xml:space="preserve">for </w:t>
      </w:r>
      <w:r w:rsidR="007620E0">
        <w:t>federal-</w:t>
      </w:r>
      <w:r w:rsidR="00A82DC2" w:rsidRPr="00A82DC2">
        <w:t>authorized and non-</w:t>
      </w:r>
      <w:r w:rsidR="007620E0">
        <w:t>federal</w:t>
      </w:r>
      <w:r w:rsidR="00A82DC2" w:rsidRPr="00A82DC2">
        <w:t>-authorized oil and gas development</w:t>
      </w:r>
      <w:r w:rsidR="00A82DC2">
        <w:t>, as wel</w:t>
      </w:r>
      <w:r w:rsidR="00A82DC2" w:rsidRPr="00A82DC2">
        <w:t>l as for existing and already authorized oil and gas development activities</w:t>
      </w:r>
      <w:r w:rsidR="00A82DC2">
        <w:t>.</w:t>
      </w:r>
      <w:r w:rsidR="00A82DC2" w:rsidRPr="00A82DC2">
        <w:t xml:space="preserve"> </w:t>
      </w:r>
      <w:r w:rsidRPr="00A82DC2">
        <w:t>Both CMAQ and CAMx have methods to track contributions from source groups and regions to ambient levels and deposited amounts of pollutants.</w:t>
      </w:r>
    </w:p>
    <w:p w14:paraId="1885AF49" w14:textId="77777777" w:rsidR="00000904" w:rsidRDefault="00000904" w:rsidP="00AC281F">
      <w:pPr>
        <w:pStyle w:val="ListParagraph"/>
        <w:ind w:left="360"/>
      </w:pPr>
    </w:p>
    <w:p w14:paraId="5BA241C9" w14:textId="303CB305" w:rsidR="00F905CA" w:rsidRPr="00DE2D85" w:rsidRDefault="00AC281F" w:rsidP="00F905CA">
      <w:pPr>
        <w:ind w:left="360"/>
      </w:pPr>
      <w:r>
        <w:t xml:space="preserve">The general </w:t>
      </w:r>
      <w:r w:rsidRPr="004E737E">
        <w:t xml:space="preserve">objective of the </w:t>
      </w:r>
      <w:r w:rsidR="00A40C85">
        <w:t>source apportionment</w:t>
      </w:r>
      <w:r w:rsidRPr="004E737E">
        <w:t xml:space="preserve"> modeling work include</w:t>
      </w:r>
      <w:r w:rsidR="00F905CA">
        <w:t>s the u</w:t>
      </w:r>
      <w:r w:rsidR="00F905CA" w:rsidRPr="00F905CA">
        <w:rPr>
          <w:rFonts w:eastAsia="Times New Roman"/>
        </w:rPr>
        <w:t xml:space="preserve">se </w:t>
      </w:r>
      <w:r w:rsidR="00F905CA">
        <w:rPr>
          <w:rFonts w:eastAsia="Times New Roman"/>
        </w:rPr>
        <w:t xml:space="preserve">of </w:t>
      </w:r>
      <w:r w:rsidR="00F905CA" w:rsidRPr="00F905CA">
        <w:rPr>
          <w:rFonts w:eastAsia="Times New Roman"/>
        </w:rPr>
        <w:t>CAMx and</w:t>
      </w:r>
      <w:r w:rsidR="00B94B18">
        <w:rPr>
          <w:rFonts w:eastAsia="Times New Roman"/>
        </w:rPr>
        <w:t>/or</w:t>
      </w:r>
      <w:r w:rsidR="00F905CA" w:rsidRPr="00F905CA">
        <w:rPr>
          <w:rFonts w:eastAsia="Times New Roman"/>
        </w:rPr>
        <w:t xml:space="preserve"> CMAQ source apportionment tools.</w:t>
      </w:r>
      <w:r w:rsidR="00B018C1">
        <w:rPr>
          <w:rFonts w:eastAsia="Times New Roman"/>
        </w:rPr>
        <w:t xml:space="preserve"> </w:t>
      </w:r>
      <w:r w:rsidR="00871759">
        <w:rPr>
          <w:rFonts w:eastAsia="Times New Roman"/>
        </w:rPr>
        <w:t>To the degree that the Cooperators want to conduct source apportionment stu</w:t>
      </w:r>
      <w:r w:rsidR="00871759" w:rsidRPr="00871759">
        <w:rPr>
          <w:rFonts w:eastAsia="Times New Roman"/>
        </w:rPr>
        <w:t>dies, t</w:t>
      </w:r>
      <w:r w:rsidR="00F905CA" w:rsidRPr="00871759">
        <w:rPr>
          <w:rFonts w:eastAsia="Times New Roman"/>
        </w:rPr>
        <w:t>he approach for accomplishing this objective includes surveying the Cooperating Agencies for the groups that would be most applicable for their projects.</w:t>
      </w:r>
      <w:r w:rsidR="00F905CA">
        <w:rPr>
          <w:rFonts w:eastAsia="Times New Roman"/>
        </w:rPr>
        <w:t xml:space="preserve"> </w:t>
      </w:r>
    </w:p>
    <w:p w14:paraId="7AC293AF" w14:textId="77777777" w:rsidR="00851226" w:rsidRDefault="00851226" w:rsidP="00AC281F">
      <w:pPr>
        <w:pStyle w:val="ListParagraph"/>
        <w:ind w:left="1080"/>
      </w:pPr>
    </w:p>
    <w:p w14:paraId="15A88E59" w14:textId="77777777" w:rsidR="00AC281F" w:rsidRDefault="00AC281F" w:rsidP="00AC281F">
      <w:pPr>
        <w:ind w:left="360"/>
      </w:pPr>
      <w:r>
        <w:lastRenderedPageBreak/>
        <w:t xml:space="preserve">The deliverables of the </w:t>
      </w:r>
      <w:r w:rsidR="00A40C85">
        <w:t>source apportionment</w:t>
      </w:r>
      <w:r>
        <w:t xml:space="preserve"> modeling work include:</w:t>
      </w:r>
    </w:p>
    <w:p w14:paraId="7E69A3DA" w14:textId="77777777" w:rsidR="00E66A0E" w:rsidRDefault="00AC281F" w:rsidP="006117D3">
      <w:pPr>
        <w:pStyle w:val="ListParagraph"/>
        <w:numPr>
          <w:ilvl w:val="6"/>
          <w:numId w:val="25"/>
        </w:numPr>
        <w:ind w:left="1080"/>
      </w:pPr>
      <w:r>
        <w:t>Protocol outlining specific work objectives, procedures, and activities, type of assistance and information needed from the Cooperating Agencies, and timeframes.</w:t>
      </w:r>
    </w:p>
    <w:p w14:paraId="35BFD2E3" w14:textId="77777777" w:rsidR="00E66A0E" w:rsidRDefault="00AC281F" w:rsidP="006117D3">
      <w:pPr>
        <w:pStyle w:val="ListParagraph"/>
        <w:numPr>
          <w:ilvl w:val="6"/>
          <w:numId w:val="25"/>
        </w:numPr>
        <w:ind w:left="1080"/>
      </w:pPr>
      <w:r>
        <w:t xml:space="preserve">Progress reports outlining completed and upcoming work, challenges, changes to the </w:t>
      </w:r>
      <w:r w:rsidR="00C35284">
        <w:t>p</w:t>
      </w:r>
      <w:r w:rsidR="00C35284" w:rsidRPr="001B5A4C">
        <w:t>rotocol</w:t>
      </w:r>
      <w:r w:rsidRPr="001B5A4C">
        <w:t>, and resources.</w:t>
      </w:r>
    </w:p>
    <w:p w14:paraId="1B0A2F80" w14:textId="77777777" w:rsidR="00E66A0E" w:rsidRDefault="00AC281F" w:rsidP="006117D3">
      <w:pPr>
        <w:pStyle w:val="ListParagraph"/>
        <w:numPr>
          <w:ilvl w:val="6"/>
          <w:numId w:val="25"/>
        </w:numPr>
        <w:ind w:left="1080"/>
      </w:pPr>
      <w:r w:rsidRPr="001B5A4C">
        <w:t xml:space="preserve">Final </w:t>
      </w:r>
      <w:r w:rsidR="00C35284">
        <w:t>r</w:t>
      </w:r>
      <w:r w:rsidR="00C35284" w:rsidRPr="001B5A4C">
        <w:t xml:space="preserve">eport </w:t>
      </w:r>
      <w:r w:rsidRPr="001B5A4C">
        <w:t xml:space="preserve">that addresses the objectives and </w:t>
      </w:r>
      <w:r>
        <w:t>summarizes the work products, lessons learned for building the air quality model platforms, and when/how the PGMs should be used in future air quality projects</w:t>
      </w:r>
      <w:r w:rsidRPr="001B5A4C">
        <w:t>.</w:t>
      </w:r>
    </w:p>
    <w:p w14:paraId="70CCFD97" w14:textId="77777777" w:rsidR="00AC281F" w:rsidRDefault="00AC281F" w:rsidP="006117D3">
      <w:pPr>
        <w:pStyle w:val="ListParagraph"/>
        <w:numPr>
          <w:ilvl w:val="6"/>
          <w:numId w:val="25"/>
        </w:numPr>
        <w:ind w:left="1080"/>
      </w:pPr>
      <w:r w:rsidRPr="001B5A4C">
        <w:t>Tr</w:t>
      </w:r>
      <w:r>
        <w:t>ansfer all files and work products</w:t>
      </w:r>
      <w:r w:rsidRPr="001B5A4C">
        <w:t xml:space="preserve"> to </w:t>
      </w:r>
      <w:r>
        <w:t xml:space="preserve">the </w:t>
      </w:r>
      <w:r w:rsidRPr="001B5A4C">
        <w:t>IWDW.</w:t>
      </w:r>
    </w:p>
    <w:p w14:paraId="03297DA0" w14:textId="77777777" w:rsidR="00AC281F" w:rsidRDefault="00AC281F" w:rsidP="00AC281F">
      <w:pPr>
        <w:pStyle w:val="ListParagraph"/>
        <w:ind w:left="360"/>
      </w:pPr>
    </w:p>
    <w:p w14:paraId="69C508A9" w14:textId="207F4E07" w:rsidR="00970021" w:rsidRPr="00391CA2" w:rsidRDefault="00032DF3" w:rsidP="0090076F">
      <w:pPr>
        <w:pStyle w:val="ListParagraph"/>
        <w:numPr>
          <w:ilvl w:val="0"/>
          <w:numId w:val="1"/>
        </w:numPr>
      </w:pPr>
      <w:r>
        <w:t xml:space="preserve">Model </w:t>
      </w:r>
      <w:r w:rsidR="00BF0220">
        <w:t>Grid</w:t>
      </w:r>
      <w:r w:rsidR="00B018C1">
        <w:t>s</w:t>
      </w:r>
      <w:r w:rsidR="006128D3">
        <w:t xml:space="preserve"> – </w:t>
      </w:r>
      <w:r w:rsidR="00D65A73">
        <w:t xml:space="preserve">Extracting and </w:t>
      </w:r>
      <w:r w:rsidR="006128D3">
        <w:t>Nesting Higher-Resolution Model Domains</w:t>
      </w:r>
    </w:p>
    <w:p w14:paraId="46EA3BAD" w14:textId="77777777" w:rsidR="00970021" w:rsidRDefault="00970021" w:rsidP="00970021">
      <w:pPr>
        <w:pStyle w:val="ListParagraph"/>
        <w:ind w:left="360"/>
      </w:pPr>
    </w:p>
    <w:p w14:paraId="4AAA7FB3" w14:textId="60936122" w:rsidR="006128D3" w:rsidRDefault="006128D3" w:rsidP="00970021">
      <w:pPr>
        <w:pStyle w:val="ListParagraph"/>
        <w:ind w:left="360"/>
      </w:pPr>
      <w:r>
        <w:t>In the past</w:t>
      </w:r>
      <w:r w:rsidR="00E46F99">
        <w:t>, the IWDW-WAQS modeling platform</w:t>
      </w:r>
      <w:r w:rsidR="00295920">
        <w:t xml:space="preserve"> included a 36/12/4 km grid resolution</w:t>
      </w:r>
      <w:r>
        <w:t xml:space="preserve"> and</w:t>
      </w:r>
      <w:r w:rsidR="005165CB">
        <w:t xml:space="preserve"> the Cooperators </w:t>
      </w:r>
      <w:r w:rsidR="00295920">
        <w:t>had</w:t>
      </w:r>
      <w:r>
        <w:t xml:space="preserve"> </w:t>
      </w:r>
      <w:r w:rsidR="005165CB">
        <w:t xml:space="preserve">agreed </w:t>
      </w:r>
      <w:r w:rsidR="003E5C30">
        <w:t xml:space="preserve">that future air quality projects would </w:t>
      </w:r>
      <w:r w:rsidR="00C13044">
        <w:t xml:space="preserve">generally </w:t>
      </w:r>
      <w:r w:rsidR="003E5C30">
        <w:t>utilize the 4</w:t>
      </w:r>
      <w:r w:rsidR="00295920">
        <w:t>-</w:t>
      </w:r>
      <w:r w:rsidR="003E5C30">
        <w:t xml:space="preserve">km model domain products. </w:t>
      </w:r>
      <w:r w:rsidR="007B32A0" w:rsidRPr="00474002">
        <w:t xml:space="preserve">The </w:t>
      </w:r>
      <w:r w:rsidR="007B32A0">
        <w:t xml:space="preserve">Cooperators also </w:t>
      </w:r>
      <w:r w:rsidR="00C13044">
        <w:t>anticipated that the</w:t>
      </w:r>
      <w:r w:rsidR="007B32A0" w:rsidRPr="00474002">
        <w:t xml:space="preserve"> projects</w:t>
      </w:r>
      <w:r w:rsidR="00C13044">
        <w:t xml:space="preserve"> would</w:t>
      </w:r>
      <w:r w:rsidR="007B32A0" w:rsidRPr="00474002">
        <w:t xml:space="preserve"> use the full model domains provided by the IWDW</w:t>
      </w:r>
      <w:r w:rsidR="007B32A0">
        <w:t xml:space="preserve"> because users</w:t>
      </w:r>
      <w:r w:rsidR="007B32A0" w:rsidRPr="00474002">
        <w:t xml:space="preserve"> have found significant differences</w:t>
      </w:r>
      <w:r w:rsidR="005165CB">
        <w:t xml:space="preserve"> in model results</w:t>
      </w:r>
      <w:r w:rsidR="00BF0220">
        <w:t xml:space="preserve"> or degradation in model performance</w:t>
      </w:r>
      <w:r w:rsidR="007B32A0" w:rsidRPr="00474002">
        <w:t xml:space="preserve"> </w:t>
      </w:r>
      <w:r w:rsidR="005165CB">
        <w:t>when the model domain</w:t>
      </w:r>
      <w:r w:rsidR="00280796">
        <w:t>s</w:t>
      </w:r>
      <w:r w:rsidR="005165CB">
        <w:t xml:space="preserve"> w</w:t>
      </w:r>
      <w:r w:rsidR="00280796">
        <w:t>ere</w:t>
      </w:r>
      <w:r w:rsidR="007B32A0" w:rsidRPr="00474002">
        <w:t xml:space="preserve"> reduced</w:t>
      </w:r>
      <w:r w:rsidR="00BF0220">
        <w:t xml:space="preserve"> or nested to a </w:t>
      </w:r>
      <w:r w:rsidR="00295920">
        <w:t>finer</w:t>
      </w:r>
      <w:r w:rsidR="00BF0220">
        <w:t xml:space="preserve"> resolution</w:t>
      </w:r>
      <w:r w:rsidR="007B32A0" w:rsidRPr="00474002">
        <w:t>.</w:t>
      </w:r>
      <w:r w:rsidR="009979AC">
        <w:rPr>
          <w:rStyle w:val="FootnoteReference"/>
        </w:rPr>
        <w:footnoteReference w:id="10"/>
      </w:r>
      <w:r w:rsidR="00D13371">
        <w:t xml:space="preserve"> </w:t>
      </w:r>
    </w:p>
    <w:p w14:paraId="1B6FF874" w14:textId="77777777" w:rsidR="006128D3" w:rsidRDefault="006128D3" w:rsidP="00970021">
      <w:pPr>
        <w:pStyle w:val="ListParagraph"/>
        <w:ind w:left="360"/>
      </w:pPr>
    </w:p>
    <w:p w14:paraId="0595639B" w14:textId="454EC617" w:rsidR="00280796" w:rsidRDefault="00515A14" w:rsidP="00896307">
      <w:pPr>
        <w:pStyle w:val="ListParagraph"/>
        <w:ind w:left="360"/>
      </w:pPr>
      <w:r>
        <w:t>Given that the IWDW-WAQS does not have the resources to complete a full 36/12/4</w:t>
      </w:r>
      <w:r w:rsidR="00D8645D">
        <w:t xml:space="preserve"> </w:t>
      </w:r>
      <w:r>
        <w:t>km model platform,</w:t>
      </w:r>
      <w:r w:rsidR="004A5115">
        <w:t xml:space="preserve"> a nested 4-km</w:t>
      </w:r>
      <w:r w:rsidR="00BF0220">
        <w:t xml:space="preserve"> domain</w:t>
      </w:r>
      <w:r w:rsidR="006128D3">
        <w:t xml:space="preserve"> within the regional </w:t>
      </w:r>
      <w:r w:rsidR="00295920">
        <w:t>IWDW-</w:t>
      </w:r>
      <w:r w:rsidR="006128D3">
        <w:t>WAQS 36/12 km domain</w:t>
      </w:r>
      <w:r w:rsidR="004A5115">
        <w:t xml:space="preserve"> will be completed on a case-by-case basis.</w:t>
      </w:r>
      <w:r w:rsidR="00CC0D1E">
        <w:t xml:space="preserve"> </w:t>
      </w:r>
      <w:r w:rsidR="00896307">
        <w:t xml:space="preserve">The Cooperators will develop an approach </w:t>
      </w:r>
      <w:r w:rsidR="00E30511">
        <w:t xml:space="preserve">and tools </w:t>
      </w:r>
      <w:r w:rsidR="00896307">
        <w:t xml:space="preserve">for </w:t>
      </w:r>
      <w:r w:rsidR="00E30511">
        <w:t>completing</w:t>
      </w:r>
      <w:r w:rsidR="00CE3DEC">
        <w:t xml:space="preserve"> </w:t>
      </w:r>
      <w:r w:rsidR="00D8645D">
        <w:t>any</w:t>
      </w:r>
      <w:r w:rsidR="00CE3DEC">
        <w:t xml:space="preserve"> nested 4-km </w:t>
      </w:r>
      <w:r w:rsidR="00B94B18">
        <w:t>modeling and</w:t>
      </w:r>
      <w:r w:rsidR="00280796">
        <w:t xml:space="preserve"> determine the unit-costs associated to this work</w:t>
      </w:r>
      <w:r w:rsidR="00CE3DEC">
        <w:t xml:space="preserve">. </w:t>
      </w:r>
    </w:p>
    <w:p w14:paraId="08C47D86" w14:textId="77777777" w:rsidR="00896307" w:rsidRDefault="00896307" w:rsidP="00970021">
      <w:pPr>
        <w:pStyle w:val="ListParagraph"/>
        <w:ind w:left="360"/>
      </w:pPr>
    </w:p>
    <w:p w14:paraId="39AF0432" w14:textId="29E78F79" w:rsidR="00280796" w:rsidRDefault="00CC0D1E" w:rsidP="00896307">
      <w:pPr>
        <w:pStyle w:val="ListParagraph"/>
        <w:ind w:left="360"/>
      </w:pPr>
      <w:r>
        <w:t>The Cooperators</w:t>
      </w:r>
      <w:r w:rsidR="00CA42DE" w:rsidRPr="00CA42DE">
        <w:t xml:space="preserve"> </w:t>
      </w:r>
      <w:r w:rsidR="00CA42DE">
        <w:t>have also realized that it may not be feasible to use the IWDW-WAQS products “as-is” from the IWDW.</w:t>
      </w:r>
      <w:r w:rsidR="00896307">
        <w:t xml:space="preserve"> </w:t>
      </w:r>
      <w:r w:rsidR="00211F4E">
        <w:t>To address th</w:t>
      </w:r>
      <w:r w:rsidR="007A6154">
        <w:t>is</w:t>
      </w:r>
      <w:r w:rsidR="00211F4E">
        <w:t xml:space="preserve"> challenge, </w:t>
      </w:r>
      <w:r w:rsidR="00FC794D">
        <w:t xml:space="preserve">the Cooperators </w:t>
      </w:r>
      <w:r w:rsidR="00D8645D">
        <w:t xml:space="preserve">will </w:t>
      </w:r>
      <w:r w:rsidR="00FC794D">
        <w:t>develop a method and tools to reduce the available model domain</w:t>
      </w:r>
      <w:r w:rsidR="002324AA">
        <w:t xml:space="preserve"> </w:t>
      </w:r>
      <w:r w:rsidR="001F2BA7">
        <w:t xml:space="preserve">to specific geographic </w:t>
      </w:r>
      <w:r w:rsidR="00B94B18">
        <w:t>areas and</w:t>
      </w:r>
      <w:r w:rsidR="00280796">
        <w:t xml:space="preserve"> determine the unit-costs associated to this work.</w:t>
      </w:r>
      <w:r w:rsidR="00C36437">
        <w:t xml:space="preserve"> </w:t>
      </w:r>
    </w:p>
    <w:p w14:paraId="7897F76E" w14:textId="77777777" w:rsidR="00280796" w:rsidRDefault="00280796" w:rsidP="00896307">
      <w:pPr>
        <w:pStyle w:val="ListParagraph"/>
        <w:ind w:left="360"/>
      </w:pPr>
    </w:p>
    <w:p w14:paraId="3EC5EF20" w14:textId="0A135BCA" w:rsidR="00280796" w:rsidRDefault="00280796" w:rsidP="00896307">
      <w:pPr>
        <w:pStyle w:val="ListParagraph"/>
        <w:ind w:left="360"/>
      </w:pPr>
      <w:r>
        <w:t>Until the tools are developed and the resources become available for nesting and extracting portions of the available model domains,</w:t>
      </w:r>
      <w:r w:rsidRPr="00474002">
        <w:t xml:space="preserve"> it </w:t>
      </w:r>
      <w:r>
        <w:t>will be</w:t>
      </w:r>
      <w:r w:rsidRPr="00474002">
        <w:t xml:space="preserve"> up to the</w:t>
      </w:r>
      <w:r>
        <w:t xml:space="preserve"> Cooperator’s</w:t>
      </w:r>
      <w:r w:rsidRPr="00474002">
        <w:t xml:space="preserve"> Agency and affiliated contractors to develop or obtain the software tools for </w:t>
      </w:r>
      <w:r>
        <w:t xml:space="preserve">nesting and </w:t>
      </w:r>
      <w:r w:rsidRPr="00474002">
        <w:t>extracting</w:t>
      </w:r>
      <w:r>
        <w:t xml:space="preserve"> portions of</w:t>
      </w:r>
      <w:r w:rsidRPr="00474002">
        <w:t xml:space="preserve"> the boundary condition</w:t>
      </w:r>
      <w:r>
        <w:t>s, emissions, and meteorology</w:t>
      </w:r>
      <w:r w:rsidRPr="00474002">
        <w:t xml:space="preserve"> data</w:t>
      </w:r>
      <w:r>
        <w:t xml:space="preserve"> from the available domains</w:t>
      </w:r>
      <w:r w:rsidRPr="00474002">
        <w:t>, and demonstrat</w:t>
      </w:r>
      <w:r>
        <w:t xml:space="preserve">e in a model performance evaluation that </w:t>
      </w:r>
      <w:r w:rsidRPr="00474002">
        <w:t xml:space="preserve">the </w:t>
      </w:r>
      <w:r>
        <w:t>veracity and robustness of the a</w:t>
      </w:r>
      <w:r w:rsidRPr="00474002">
        <w:t xml:space="preserve">pproach </w:t>
      </w:r>
      <w:r>
        <w:t xml:space="preserve">will </w:t>
      </w:r>
      <w:r w:rsidRPr="00474002">
        <w:t>significantly imp</w:t>
      </w:r>
      <w:r>
        <w:t>rove</w:t>
      </w:r>
      <w:r w:rsidRPr="00474002">
        <w:t xml:space="preserve"> the model results.</w:t>
      </w:r>
    </w:p>
    <w:p w14:paraId="27C6FF1B" w14:textId="77777777" w:rsidR="00280796" w:rsidRDefault="00280796" w:rsidP="00896307">
      <w:pPr>
        <w:pStyle w:val="ListParagraph"/>
        <w:ind w:left="360"/>
      </w:pPr>
    </w:p>
    <w:p w14:paraId="44283A3A" w14:textId="3A6762F4" w:rsidR="00D13371" w:rsidRDefault="006128D3" w:rsidP="00896307">
      <w:pPr>
        <w:pStyle w:val="ListParagraph"/>
        <w:ind w:left="360"/>
      </w:pPr>
      <w:r>
        <w:t>If the Cooperat</w:t>
      </w:r>
      <w:r w:rsidR="00D8645D">
        <w:t>or’s</w:t>
      </w:r>
      <w:r>
        <w:t xml:space="preserve"> Agenc</w:t>
      </w:r>
      <w:r w:rsidR="00D8645D">
        <w:t>y</w:t>
      </w:r>
      <w:r>
        <w:t xml:space="preserve"> provide</w:t>
      </w:r>
      <w:r w:rsidR="00921D4D">
        <w:t>s</w:t>
      </w:r>
      <w:r>
        <w:t xml:space="preserve"> resources to the </w:t>
      </w:r>
      <w:r w:rsidR="00D8645D">
        <w:t>IWDW-</w:t>
      </w:r>
      <w:r>
        <w:t>WAQS and identify the advance timing and level of detail in writing</w:t>
      </w:r>
      <w:r w:rsidR="00D8645D">
        <w:t xml:space="preserve"> for approval by the Cooperators</w:t>
      </w:r>
      <w:r>
        <w:t>, t</w:t>
      </w:r>
      <w:r w:rsidR="00211F4E">
        <w:t>his</w:t>
      </w:r>
      <w:r w:rsidR="00D8645D">
        <w:t xml:space="preserve"> work</w:t>
      </w:r>
      <w:r w:rsidR="00211F4E">
        <w:t xml:space="preserve"> </w:t>
      </w:r>
      <w:r>
        <w:t>c</w:t>
      </w:r>
      <w:r w:rsidR="00211F4E">
        <w:t>ould</w:t>
      </w:r>
      <w:r w:rsidR="00077D0A" w:rsidRPr="00474002">
        <w:t xml:space="preserve"> </w:t>
      </w:r>
      <w:r>
        <w:t xml:space="preserve">be </w:t>
      </w:r>
      <w:r w:rsidR="00D8645D">
        <w:t>completed through</w:t>
      </w:r>
      <w:r>
        <w:t xml:space="preserve"> the </w:t>
      </w:r>
      <w:r w:rsidR="00D8645D">
        <w:t>IWDW-</w:t>
      </w:r>
      <w:r>
        <w:t>WAQS to</w:t>
      </w:r>
      <w:r w:rsidR="00D8645D">
        <w:t xml:space="preserve"> </w:t>
      </w:r>
      <w:r w:rsidR="00077D0A" w:rsidRPr="00474002">
        <w:t>reduce th</w:t>
      </w:r>
      <w:r w:rsidR="003A79C1">
        <w:t>e computational</w:t>
      </w:r>
      <w:r w:rsidR="00077D0A" w:rsidRPr="00474002">
        <w:t xml:space="preserve"> </w:t>
      </w:r>
      <w:r w:rsidR="00211F4E">
        <w:t xml:space="preserve">time and </w:t>
      </w:r>
      <w:r w:rsidR="00077D0A" w:rsidRPr="00474002">
        <w:t>costs</w:t>
      </w:r>
      <w:r w:rsidR="00211F4E">
        <w:t xml:space="preserve"> incurred by </w:t>
      </w:r>
      <w:r>
        <w:t xml:space="preserve">outside </w:t>
      </w:r>
      <w:r w:rsidR="00211F4E">
        <w:t>users</w:t>
      </w:r>
      <w:r w:rsidR="00524031">
        <w:t>. This</w:t>
      </w:r>
      <w:r w:rsidR="00091D31">
        <w:t xml:space="preserve"> work</w:t>
      </w:r>
      <w:r w:rsidR="00524031">
        <w:t xml:space="preserve"> will also</w:t>
      </w:r>
      <w:r w:rsidR="00211F4E">
        <w:t xml:space="preserve"> maintain the high-quality of the modeling products</w:t>
      </w:r>
      <w:r w:rsidR="00524031">
        <w:t xml:space="preserve"> and</w:t>
      </w:r>
      <w:r w:rsidR="00FA4D16">
        <w:t xml:space="preserve"> provide maximum utility for the life of the modeling platform.</w:t>
      </w:r>
    </w:p>
    <w:p w14:paraId="564E8B3A" w14:textId="77777777" w:rsidR="009A2DA5" w:rsidRDefault="009A2DA5" w:rsidP="00970021">
      <w:pPr>
        <w:pStyle w:val="ListParagraph"/>
        <w:ind w:left="360"/>
      </w:pPr>
    </w:p>
    <w:p w14:paraId="1E4006D7" w14:textId="2CBA34DE" w:rsidR="009A2DA5" w:rsidRPr="00BE256A" w:rsidRDefault="00087739" w:rsidP="00A1435D">
      <w:pPr>
        <w:ind w:left="360"/>
      </w:pPr>
      <w:r>
        <w:lastRenderedPageBreak/>
        <w:t>The general objective includes developing an approach and tool</w:t>
      </w:r>
      <w:r w:rsidR="00FA4D16">
        <w:t>s</w:t>
      </w:r>
      <w:r>
        <w:t xml:space="preserve"> to </w:t>
      </w:r>
      <w:r w:rsidR="00FA4D16">
        <w:t xml:space="preserve">allow </w:t>
      </w:r>
      <w:r w:rsidR="008C3D0B">
        <w:t>Cooperators</w:t>
      </w:r>
      <w:r w:rsidR="00FA4D16">
        <w:t xml:space="preserve"> to </w:t>
      </w:r>
      <w:r w:rsidR="007A6154">
        <w:t>complete</w:t>
      </w:r>
      <w:r w:rsidR="008C3D0B">
        <w:t xml:space="preserve"> nested 4-km modeling and </w:t>
      </w:r>
      <w:r w:rsidR="00FA4D16">
        <w:t xml:space="preserve">work with </w:t>
      </w:r>
      <w:r>
        <w:t>small</w:t>
      </w:r>
      <w:r w:rsidR="00FA4D16">
        <w:t>er</w:t>
      </w:r>
      <w:r>
        <w:t xml:space="preserve"> portions o</w:t>
      </w:r>
      <w:r w:rsidR="00FA4D16">
        <w:t>f</w:t>
      </w:r>
      <w:r>
        <w:t xml:space="preserve"> the </w:t>
      </w:r>
      <w:r w:rsidR="008C3D0B">
        <w:t xml:space="preserve">available </w:t>
      </w:r>
      <w:r>
        <w:t>model domain</w:t>
      </w:r>
      <w:r w:rsidR="008C3D0B">
        <w:t>s</w:t>
      </w:r>
      <w:r>
        <w:t>.</w:t>
      </w:r>
      <w:r w:rsidR="00A1435D">
        <w:t xml:space="preserve"> </w:t>
      </w:r>
      <w:r w:rsidR="009A2DA5">
        <w:t>The approach for accomplishing this objective includes:</w:t>
      </w:r>
    </w:p>
    <w:p w14:paraId="1953269F" w14:textId="3416BF19" w:rsidR="009A2DA5" w:rsidRDefault="00211F4E" w:rsidP="006117D3">
      <w:pPr>
        <w:pStyle w:val="ListParagraph"/>
        <w:numPr>
          <w:ilvl w:val="0"/>
          <w:numId w:val="33"/>
        </w:numPr>
        <w:ind w:left="1080"/>
      </w:pPr>
      <w:r>
        <w:t>WAQS Technical Committee</w:t>
      </w:r>
      <w:r w:rsidR="00037F65">
        <w:t>, in coordination</w:t>
      </w:r>
      <w:r>
        <w:t xml:space="preserve"> with the modeling contractors</w:t>
      </w:r>
      <w:r w:rsidR="00037F65">
        <w:t xml:space="preserve">, </w:t>
      </w:r>
      <w:r w:rsidR="00F31AB0">
        <w:t>e</w:t>
      </w:r>
      <w:r w:rsidR="009A2DA5">
        <w:t>valuat</w:t>
      </w:r>
      <w:r w:rsidR="008C3D0B">
        <w:t>ing</w:t>
      </w:r>
      <w:r w:rsidR="009A2DA5">
        <w:t xml:space="preserve"> and determin</w:t>
      </w:r>
      <w:r w:rsidR="008C3D0B">
        <w:t>ing</w:t>
      </w:r>
      <w:r w:rsidR="009A2DA5">
        <w:t xml:space="preserve"> </w:t>
      </w:r>
      <w:r w:rsidR="008C3D0B">
        <w:t xml:space="preserve">approaches for conducting nested 4-km modeling and </w:t>
      </w:r>
      <w:r w:rsidR="009A2DA5">
        <w:t>extract</w:t>
      </w:r>
      <w:r w:rsidR="008C3D0B">
        <w:t>ing</w:t>
      </w:r>
      <w:r w:rsidR="009A2DA5">
        <w:t xml:space="preserve"> small</w:t>
      </w:r>
      <w:r w:rsidR="008C3D0B">
        <w:t>er</w:t>
      </w:r>
      <w:r w:rsidR="009A2DA5">
        <w:t xml:space="preserve"> portions of the available model domains.</w:t>
      </w:r>
    </w:p>
    <w:p w14:paraId="25FD644D" w14:textId="7354DE06" w:rsidR="009A2DA5" w:rsidRDefault="00F31AB0" w:rsidP="006117D3">
      <w:pPr>
        <w:pStyle w:val="ListParagraph"/>
        <w:numPr>
          <w:ilvl w:val="0"/>
          <w:numId w:val="33"/>
        </w:numPr>
        <w:ind w:left="1080"/>
      </w:pPr>
      <w:r>
        <w:t>WAQS Technical Committee</w:t>
      </w:r>
      <w:r w:rsidR="00037F65">
        <w:t xml:space="preserve">, in coordination </w:t>
      </w:r>
      <w:r>
        <w:t>with the modeling contractors</w:t>
      </w:r>
      <w:r w:rsidR="00037F65">
        <w:t xml:space="preserve">, </w:t>
      </w:r>
      <w:r>
        <w:t>e</w:t>
      </w:r>
      <w:r w:rsidR="009A2DA5">
        <w:t>valuat</w:t>
      </w:r>
      <w:r w:rsidR="008C3D0B">
        <w:t>ing</w:t>
      </w:r>
      <w:r w:rsidR="009A2DA5">
        <w:t xml:space="preserve"> the model performance issues that may result from </w:t>
      </w:r>
      <w:r w:rsidR="008C3D0B">
        <w:t xml:space="preserve">nesting and </w:t>
      </w:r>
      <w:r w:rsidR="009A2DA5">
        <w:t>resizing model domain</w:t>
      </w:r>
      <w:r w:rsidR="008C3D0B">
        <w:t>s</w:t>
      </w:r>
      <w:r w:rsidR="009A2DA5">
        <w:t xml:space="preserve"> </w:t>
      </w:r>
      <w:r w:rsidR="004A6E9B">
        <w:t>and identify criteria for users to implement approach appropriately</w:t>
      </w:r>
      <w:r w:rsidR="009A2DA5">
        <w:t>.</w:t>
      </w:r>
    </w:p>
    <w:p w14:paraId="7E82BE34" w14:textId="411D26B6" w:rsidR="00DF1277" w:rsidRDefault="00DF1277" w:rsidP="00DF1277">
      <w:pPr>
        <w:pStyle w:val="ListParagraph"/>
        <w:numPr>
          <w:ilvl w:val="0"/>
          <w:numId w:val="33"/>
        </w:numPr>
        <w:ind w:left="1080"/>
      </w:pPr>
      <w:r>
        <w:t>WAQS Technical Committee, in coordination with the modeling contractors, determine unit-costs to complete nested 4-km modeling and extracting smaller portions of the available model domains within the IWDW-WAQS framework.</w:t>
      </w:r>
    </w:p>
    <w:p w14:paraId="04FD9CD7" w14:textId="0A266CED" w:rsidR="00F31AB0" w:rsidRDefault="00F31AB0" w:rsidP="006117D3">
      <w:pPr>
        <w:pStyle w:val="ListParagraph"/>
        <w:numPr>
          <w:ilvl w:val="0"/>
          <w:numId w:val="33"/>
        </w:numPr>
        <w:ind w:left="1080"/>
      </w:pPr>
      <w:r>
        <w:t xml:space="preserve">WAQS Technical Committee </w:t>
      </w:r>
      <w:r w:rsidR="00037F65">
        <w:t xml:space="preserve">will </w:t>
      </w:r>
      <w:r>
        <w:t>develop a protocol for users to use to implement approach and use tools.</w:t>
      </w:r>
    </w:p>
    <w:p w14:paraId="1076A6CB" w14:textId="77777777" w:rsidR="009A2DA5" w:rsidRDefault="009A2DA5" w:rsidP="009A2DA5">
      <w:pPr>
        <w:pStyle w:val="ListParagraph"/>
        <w:ind w:left="1080"/>
      </w:pPr>
    </w:p>
    <w:p w14:paraId="32E9868C" w14:textId="77777777" w:rsidR="009A2DA5" w:rsidRDefault="009A2DA5" w:rsidP="009A2DA5">
      <w:pPr>
        <w:ind w:left="360"/>
      </w:pPr>
      <w:r>
        <w:t>The deliverables of the work should include:</w:t>
      </w:r>
    </w:p>
    <w:p w14:paraId="43DB89AB" w14:textId="77777777" w:rsidR="009A2DA5" w:rsidRDefault="009A2DA5" w:rsidP="006117D3">
      <w:pPr>
        <w:pStyle w:val="ListParagraph"/>
        <w:numPr>
          <w:ilvl w:val="0"/>
          <w:numId w:val="26"/>
        </w:numPr>
        <w:ind w:left="1080"/>
      </w:pPr>
      <w:r>
        <w:t>Protocol outlining specific work objectives, procedures, and activities, type of assistance and information needed from the Cooperating Agencies, and timeframes.</w:t>
      </w:r>
    </w:p>
    <w:p w14:paraId="583D32AC" w14:textId="77777777" w:rsidR="009A2DA5" w:rsidRDefault="009A2DA5" w:rsidP="006117D3">
      <w:pPr>
        <w:pStyle w:val="ListParagraph"/>
        <w:numPr>
          <w:ilvl w:val="0"/>
          <w:numId w:val="26"/>
        </w:numPr>
        <w:ind w:left="1080"/>
      </w:pPr>
      <w:r>
        <w:t xml:space="preserve">Progress reports outlining completed and upcoming work, challenges, changes to the </w:t>
      </w:r>
      <w:r w:rsidRPr="001B5A4C">
        <w:t>Protocol, and resources.</w:t>
      </w:r>
    </w:p>
    <w:p w14:paraId="3ECDCA40" w14:textId="77777777" w:rsidR="009A2DA5" w:rsidRDefault="009A2DA5" w:rsidP="006117D3">
      <w:pPr>
        <w:pStyle w:val="ListParagraph"/>
        <w:numPr>
          <w:ilvl w:val="0"/>
          <w:numId w:val="26"/>
        </w:numPr>
        <w:ind w:left="1080"/>
      </w:pPr>
      <w:r w:rsidRPr="001B5A4C">
        <w:t xml:space="preserve">Final Report that addresses the objectives and </w:t>
      </w:r>
      <w:r>
        <w:t>summarizes the work products, lessons learned for building the tools, and when/how the tools should be used in future air quality projects</w:t>
      </w:r>
      <w:r w:rsidRPr="001B5A4C">
        <w:t>.</w:t>
      </w:r>
    </w:p>
    <w:p w14:paraId="77D4C3F3" w14:textId="6DFD1DD9" w:rsidR="009A2DA5" w:rsidRDefault="009A2DA5" w:rsidP="006117D3">
      <w:pPr>
        <w:pStyle w:val="ListParagraph"/>
        <w:numPr>
          <w:ilvl w:val="0"/>
          <w:numId w:val="26"/>
        </w:numPr>
        <w:ind w:left="1080"/>
      </w:pPr>
      <w:r>
        <w:t xml:space="preserve">Documented approach for </w:t>
      </w:r>
      <w:r w:rsidR="008C3D0B">
        <w:t xml:space="preserve">nesting and </w:t>
      </w:r>
      <w:r>
        <w:t>extract</w:t>
      </w:r>
      <w:r w:rsidR="001741E1">
        <w:t>ing smaller</w:t>
      </w:r>
      <w:r>
        <w:t xml:space="preserve"> portions </w:t>
      </w:r>
      <w:r w:rsidR="008C3D0B">
        <w:t>of the available model domains</w:t>
      </w:r>
      <w:r>
        <w:t>.</w:t>
      </w:r>
    </w:p>
    <w:p w14:paraId="386E4527" w14:textId="4733ABC9" w:rsidR="009A2DA5" w:rsidRDefault="009A2DA5" w:rsidP="006117D3">
      <w:pPr>
        <w:pStyle w:val="ListParagraph"/>
        <w:numPr>
          <w:ilvl w:val="0"/>
          <w:numId w:val="26"/>
        </w:numPr>
        <w:ind w:left="1080"/>
      </w:pPr>
      <w:r>
        <w:t xml:space="preserve">Tools to </w:t>
      </w:r>
      <w:r w:rsidR="008C3D0B">
        <w:t xml:space="preserve">nest and </w:t>
      </w:r>
      <w:r>
        <w:t xml:space="preserve">resize </w:t>
      </w:r>
      <w:r w:rsidR="001741E1">
        <w:t xml:space="preserve">model </w:t>
      </w:r>
      <w:r>
        <w:t>domain</w:t>
      </w:r>
      <w:r w:rsidR="008C3D0B">
        <w:t>s</w:t>
      </w:r>
      <w:r>
        <w:t>.</w:t>
      </w:r>
    </w:p>
    <w:p w14:paraId="795FB704" w14:textId="77777777" w:rsidR="009A2DA5" w:rsidRDefault="009A2DA5" w:rsidP="006117D3">
      <w:pPr>
        <w:pStyle w:val="ListParagraph"/>
        <w:numPr>
          <w:ilvl w:val="0"/>
          <w:numId w:val="26"/>
        </w:numPr>
        <w:ind w:left="1080"/>
      </w:pPr>
      <w:r w:rsidRPr="001B5A4C">
        <w:t>Tr</w:t>
      </w:r>
      <w:r>
        <w:t>ansfer all files and work products</w:t>
      </w:r>
      <w:r w:rsidRPr="001B5A4C">
        <w:t xml:space="preserve"> to </w:t>
      </w:r>
      <w:r>
        <w:t xml:space="preserve">the </w:t>
      </w:r>
      <w:r w:rsidRPr="001B5A4C">
        <w:t>IWDW.</w:t>
      </w:r>
    </w:p>
    <w:p w14:paraId="67FD0A17" w14:textId="77777777" w:rsidR="008908A9" w:rsidRDefault="008908A9" w:rsidP="00F34793"/>
    <w:p w14:paraId="7178F516" w14:textId="31A58666" w:rsidR="00152A5D" w:rsidRPr="00181630" w:rsidRDefault="00A24F0A" w:rsidP="0090076F">
      <w:pPr>
        <w:pStyle w:val="ListParagraph"/>
        <w:numPr>
          <w:ilvl w:val="0"/>
          <w:numId w:val="1"/>
        </w:numPr>
      </w:pPr>
      <w:r>
        <w:t>Intermountain</w:t>
      </w:r>
      <w:r w:rsidR="00871759">
        <w:t xml:space="preserve"> </w:t>
      </w:r>
      <w:r>
        <w:t xml:space="preserve">West </w:t>
      </w:r>
      <w:r w:rsidR="00152A5D" w:rsidRPr="00181630">
        <w:t xml:space="preserve">Data </w:t>
      </w:r>
      <w:r w:rsidR="00152A5D" w:rsidRPr="00696F4B">
        <w:t>Warehouse</w:t>
      </w:r>
      <w:r w:rsidR="00A21C84">
        <w:t xml:space="preserve"> Maintenance</w:t>
      </w:r>
    </w:p>
    <w:p w14:paraId="485F39F0" w14:textId="77777777" w:rsidR="00736E89" w:rsidRDefault="00736E89" w:rsidP="00736E89">
      <w:pPr>
        <w:pStyle w:val="ListParagraph"/>
      </w:pPr>
    </w:p>
    <w:p w14:paraId="083E8A3A" w14:textId="77777777" w:rsidR="00FD7396" w:rsidRDefault="00A30E11" w:rsidP="00FD7396">
      <w:pPr>
        <w:ind w:left="360"/>
      </w:pPr>
      <w:r w:rsidRPr="00181630">
        <w:t xml:space="preserve">One goal of the </w:t>
      </w:r>
      <w:r w:rsidR="00271A29">
        <w:t>IWDW-WAQS</w:t>
      </w:r>
      <w:r w:rsidR="000C3663">
        <w:t xml:space="preserve"> is to maintain a robust and reliable </w:t>
      </w:r>
      <w:r w:rsidRPr="00181630">
        <w:t>data warehouse</w:t>
      </w:r>
      <w:r w:rsidR="000C3663">
        <w:t xml:space="preserve"> to store and distribute work products</w:t>
      </w:r>
      <w:r w:rsidR="00FD7396">
        <w:t xml:space="preserve"> to the Cooperating Agencies and the public</w:t>
      </w:r>
      <w:r w:rsidR="000C3663">
        <w:t xml:space="preserve">. </w:t>
      </w:r>
      <w:r w:rsidR="00FD7396">
        <w:t xml:space="preserve">Another goal is to </w:t>
      </w:r>
      <w:r w:rsidR="00FD7396" w:rsidRPr="00181630">
        <w:t>provide tools for visualiz</w:t>
      </w:r>
      <w:r w:rsidR="009F1094">
        <w:t>ation</w:t>
      </w:r>
      <w:r w:rsidR="00FD7396" w:rsidRPr="00181630">
        <w:t xml:space="preserve"> and quality assur</w:t>
      </w:r>
      <w:r w:rsidR="009F1094">
        <w:t>ance</w:t>
      </w:r>
      <w:r w:rsidR="00FD7396" w:rsidRPr="00181630">
        <w:t xml:space="preserve"> (QA) </w:t>
      </w:r>
      <w:r w:rsidR="009F1094">
        <w:t xml:space="preserve">of </w:t>
      </w:r>
      <w:r w:rsidR="00FD7396" w:rsidRPr="00181630">
        <w:t>modeling results, along with data mining capabilities for various types of data</w:t>
      </w:r>
      <w:r w:rsidR="00FD7396">
        <w:t>,</w:t>
      </w:r>
      <w:r w:rsidR="00FD7396" w:rsidRPr="00181630">
        <w:t xml:space="preserve"> housed within the data warehouse. </w:t>
      </w:r>
      <w:r w:rsidR="000C3663" w:rsidRPr="00181630">
        <w:t>The data warehouse will contain large volumes of air quality modeling input and output data</w:t>
      </w:r>
      <w:r w:rsidR="000C3663">
        <w:t>,</w:t>
      </w:r>
      <w:r w:rsidR="000C3663" w:rsidRPr="00181630">
        <w:t xml:space="preserve"> along with all available ambient monitoring data in the region</w:t>
      </w:r>
      <w:r w:rsidR="00FD7396">
        <w:t xml:space="preserve"> to accomplish these goals</w:t>
      </w:r>
      <w:r w:rsidR="000C3663" w:rsidRPr="00181630">
        <w:t>.</w:t>
      </w:r>
    </w:p>
    <w:p w14:paraId="624984F9" w14:textId="77777777" w:rsidR="00FD7396" w:rsidRDefault="00FD7396" w:rsidP="00FD7396">
      <w:pPr>
        <w:ind w:left="360"/>
      </w:pPr>
    </w:p>
    <w:p w14:paraId="397F1D3F" w14:textId="54850B5A" w:rsidR="004C3404" w:rsidRDefault="00A94316" w:rsidP="004C3404">
      <w:pPr>
        <w:ind w:left="360"/>
      </w:pPr>
      <w:r>
        <w:t>The</w:t>
      </w:r>
      <w:r w:rsidR="00FD7396" w:rsidRPr="00564965">
        <w:t xml:space="preserve"> data warehouse</w:t>
      </w:r>
      <w:r>
        <w:t xml:space="preserve"> will require periodic updates</w:t>
      </w:r>
      <w:r w:rsidR="00FD7396" w:rsidRPr="00564965">
        <w:t xml:space="preserve"> as the volume of data grows, as improvements are identified, </w:t>
      </w:r>
      <w:r w:rsidR="00914F4A">
        <w:t xml:space="preserve">as user needs evolve, </w:t>
      </w:r>
      <w:r w:rsidR="00FD7396" w:rsidRPr="00564965">
        <w:t>and a</w:t>
      </w:r>
      <w:r w:rsidR="004C3404" w:rsidRPr="00564965">
        <w:t xml:space="preserve">s software changes. </w:t>
      </w:r>
      <w:r w:rsidR="00C70A10" w:rsidRPr="00871759">
        <w:t xml:space="preserve">The number and complexity of the PGM files will also require the data warehouse team to assure that the modeling contractors have provided all the necessary files and </w:t>
      </w:r>
      <w:r w:rsidR="00FC1328" w:rsidRPr="00871759">
        <w:t xml:space="preserve">assure </w:t>
      </w:r>
      <w:r w:rsidR="00C70A10" w:rsidRPr="00871759">
        <w:t>that the</w:t>
      </w:r>
      <w:r w:rsidR="00500EAC" w:rsidRPr="00871759">
        <w:t>se</w:t>
      </w:r>
      <w:r w:rsidR="00C70A10" w:rsidRPr="00871759">
        <w:t xml:space="preserve"> files are complete, uncorrupted, properly formatted, and suitable for transfer.</w:t>
      </w:r>
      <w:r w:rsidR="00FC1328" w:rsidRPr="00871759">
        <w:t xml:space="preserve"> </w:t>
      </w:r>
      <w:r w:rsidR="00C70A10" w:rsidRPr="00871759">
        <w:t>This effort is very significant and largely dependent on the modeling contractor during the development of a new modeling platform.</w:t>
      </w:r>
      <w:r w:rsidR="00FC1328" w:rsidRPr="00871759">
        <w:t xml:space="preserve"> To ensure the sustainability of the data warehouse, the data warehouse </w:t>
      </w:r>
      <w:r w:rsidR="00DD5A29">
        <w:t xml:space="preserve">funding </w:t>
      </w:r>
      <w:r w:rsidR="00FC1328" w:rsidRPr="00871759">
        <w:t>needs and workload</w:t>
      </w:r>
      <w:r w:rsidR="00500EAC" w:rsidRPr="00871759">
        <w:t xml:space="preserve"> of the data warehouse team</w:t>
      </w:r>
      <w:r w:rsidR="00FC1328" w:rsidRPr="00871759">
        <w:t xml:space="preserve"> will </w:t>
      </w:r>
      <w:r w:rsidR="00DD5A29">
        <w:t xml:space="preserve">be evaluated </w:t>
      </w:r>
      <w:r w:rsidR="00FC1328" w:rsidRPr="00871759">
        <w:t>on an annual basis.</w:t>
      </w:r>
    </w:p>
    <w:p w14:paraId="5C91DD17" w14:textId="77777777" w:rsidR="00FD7396" w:rsidRDefault="00FD7396" w:rsidP="00FD7396">
      <w:pPr>
        <w:ind w:left="360"/>
      </w:pPr>
    </w:p>
    <w:p w14:paraId="62DBA813" w14:textId="77777777" w:rsidR="00BB23E8" w:rsidRDefault="004C3404" w:rsidP="004C3404">
      <w:pPr>
        <w:ind w:left="360"/>
      </w:pPr>
      <w:r>
        <w:t>The general objective</w:t>
      </w:r>
      <w:r w:rsidR="00BB23E8">
        <w:t>s</w:t>
      </w:r>
      <w:r>
        <w:t xml:space="preserve"> of the data warehouse assessment include</w:t>
      </w:r>
      <w:r w:rsidR="00BB23E8">
        <w:t>:</w:t>
      </w:r>
    </w:p>
    <w:p w14:paraId="1FCBD040" w14:textId="3377E49B" w:rsidR="00BB23E8" w:rsidRDefault="00BB23E8" w:rsidP="00C67432">
      <w:pPr>
        <w:pStyle w:val="ListParagraph"/>
        <w:numPr>
          <w:ilvl w:val="0"/>
          <w:numId w:val="16"/>
        </w:numPr>
        <w:tabs>
          <w:tab w:val="clear" w:pos="1800"/>
        </w:tabs>
        <w:ind w:left="1080"/>
      </w:pPr>
      <w:r>
        <w:lastRenderedPageBreak/>
        <w:t>A</w:t>
      </w:r>
      <w:r w:rsidR="004C3404">
        <w:t xml:space="preserve">ssess the hardware and software needs to maintain a robust and reliable data warehouse for storing and distributing the </w:t>
      </w:r>
      <w:r w:rsidR="00271A29">
        <w:t>IWDW-WAQS</w:t>
      </w:r>
      <w:r w:rsidR="004C3404">
        <w:t xml:space="preserve"> products</w:t>
      </w:r>
      <w:r w:rsidR="00B94B18">
        <w:t>,</w:t>
      </w:r>
      <w:r w:rsidR="004C3404">
        <w:t xml:space="preserve"> </w:t>
      </w:r>
    </w:p>
    <w:p w14:paraId="6900D794" w14:textId="77777777" w:rsidR="00BB23E8" w:rsidRPr="00871759" w:rsidRDefault="00BB23E8" w:rsidP="005A0CA8">
      <w:pPr>
        <w:pStyle w:val="ListParagraph"/>
        <w:numPr>
          <w:ilvl w:val="0"/>
          <w:numId w:val="16"/>
        </w:numPr>
        <w:tabs>
          <w:tab w:val="clear" w:pos="1800"/>
        </w:tabs>
        <w:ind w:left="1080"/>
      </w:pPr>
      <w:r w:rsidRPr="00871759">
        <w:t xml:space="preserve">Update or develop new </w:t>
      </w:r>
      <w:r w:rsidR="004C3404" w:rsidRPr="00871759">
        <w:t>visualization tools to review model results and monitoring data</w:t>
      </w:r>
      <w:r w:rsidR="005A0CA8" w:rsidRPr="00871759">
        <w:t>, including tools that align with the WAQS MPE Checklist</w:t>
      </w:r>
      <w:r w:rsidR="005A0CA8" w:rsidRPr="00871759">
        <w:rPr>
          <w:rStyle w:val="FootnoteReference"/>
        </w:rPr>
        <w:footnoteReference w:id="11"/>
      </w:r>
      <w:r w:rsidR="005A0CA8" w:rsidRPr="00871759">
        <w:t xml:space="preserve"> and tools coordinated </w:t>
      </w:r>
      <w:r w:rsidR="00E32454" w:rsidRPr="00871759">
        <w:t xml:space="preserve">with the modeling </w:t>
      </w:r>
      <w:r w:rsidR="005A0CA8" w:rsidRPr="00871759">
        <w:t>contractors</w:t>
      </w:r>
      <w:r w:rsidR="00E32454" w:rsidRPr="00871759">
        <w:t xml:space="preserve"> that</w:t>
      </w:r>
      <w:r w:rsidR="005A0CA8" w:rsidRPr="00871759">
        <w:t xml:space="preserve"> visual model output as results become available (“rea</w:t>
      </w:r>
      <w:r w:rsidR="00E32454" w:rsidRPr="00871759">
        <w:t>l-time”) to assist in QA checks; and</w:t>
      </w:r>
    </w:p>
    <w:p w14:paraId="605B28AC" w14:textId="77777777" w:rsidR="001A1760" w:rsidRPr="00871759" w:rsidRDefault="001A1760" w:rsidP="00C67432">
      <w:pPr>
        <w:pStyle w:val="ListParagraph"/>
        <w:numPr>
          <w:ilvl w:val="0"/>
          <w:numId w:val="16"/>
        </w:numPr>
        <w:tabs>
          <w:tab w:val="clear" w:pos="1800"/>
        </w:tabs>
        <w:ind w:left="1080"/>
      </w:pPr>
      <w:r w:rsidRPr="00871759">
        <w:t>Assure that the modeling contractors have provided all the necessary files and assure that these files are complete, uncorrupted, properly formatted, and suitable for transfer.</w:t>
      </w:r>
    </w:p>
    <w:p w14:paraId="24343B82" w14:textId="77777777" w:rsidR="005A0CA8" w:rsidRDefault="005A0CA8" w:rsidP="00BB23E8"/>
    <w:p w14:paraId="02DBA8B9" w14:textId="77777777" w:rsidR="004C3404" w:rsidRDefault="004C3404" w:rsidP="00BB23E8">
      <w:pPr>
        <w:ind w:left="360"/>
      </w:pPr>
      <w:r>
        <w:t>The approach of the data warehouse assessment include</w:t>
      </w:r>
      <w:r w:rsidR="002628C4">
        <w:t>s</w:t>
      </w:r>
      <w:r>
        <w:t>:</w:t>
      </w:r>
    </w:p>
    <w:p w14:paraId="3FE4610D" w14:textId="7B151A1F" w:rsidR="004C3404" w:rsidRDefault="00B002ED" w:rsidP="00C67432">
      <w:pPr>
        <w:pStyle w:val="ListParagraph"/>
        <w:numPr>
          <w:ilvl w:val="0"/>
          <w:numId w:val="18"/>
        </w:numPr>
        <w:tabs>
          <w:tab w:val="clear" w:pos="1800"/>
        </w:tabs>
        <w:ind w:left="1080"/>
      </w:pPr>
      <w:r>
        <w:t>Outline t</w:t>
      </w:r>
      <w:r w:rsidR="004C3404">
        <w:t>he current</w:t>
      </w:r>
      <w:r w:rsidR="004B3BFC">
        <w:t xml:space="preserve"> and future</w:t>
      </w:r>
      <w:r w:rsidR="004C3404">
        <w:t xml:space="preserve"> hardware and software specifications</w:t>
      </w:r>
      <w:r w:rsidR="00BB23E8">
        <w:t>/configurations</w:t>
      </w:r>
      <w:r>
        <w:t xml:space="preserve">, </w:t>
      </w:r>
      <w:r w:rsidR="004C3404">
        <w:t xml:space="preserve">volume of data, </w:t>
      </w:r>
      <w:r>
        <w:t xml:space="preserve">file transfer capability, remaining </w:t>
      </w:r>
      <w:r w:rsidR="004C3404">
        <w:t xml:space="preserve">resources </w:t>
      </w:r>
      <w:r>
        <w:t>available</w:t>
      </w:r>
      <w:r w:rsidR="004B3BFC">
        <w:t>, and future resources</w:t>
      </w:r>
      <w:r>
        <w:t xml:space="preserve"> </w:t>
      </w:r>
      <w:r w:rsidR="004B3BFC">
        <w:t xml:space="preserve">needed </w:t>
      </w:r>
      <w:r>
        <w:t xml:space="preserve">to </w:t>
      </w:r>
      <w:r w:rsidR="004B3BFC">
        <w:t xml:space="preserve">sustain </w:t>
      </w:r>
      <w:r>
        <w:t>the data warehouse</w:t>
      </w:r>
      <w:r w:rsidR="004C3404">
        <w:t>.</w:t>
      </w:r>
    </w:p>
    <w:p w14:paraId="14619E31" w14:textId="7751ADA8" w:rsidR="004C3404" w:rsidRDefault="004B3BFC" w:rsidP="00C67432">
      <w:pPr>
        <w:pStyle w:val="ListParagraph"/>
        <w:numPr>
          <w:ilvl w:val="0"/>
          <w:numId w:val="18"/>
        </w:numPr>
        <w:ind w:left="1080"/>
      </w:pPr>
      <w:r>
        <w:t>Outline current and future visualization tools needed by the Cooperators.</w:t>
      </w:r>
    </w:p>
    <w:p w14:paraId="7FFE8C52" w14:textId="77777777" w:rsidR="00575229" w:rsidRDefault="004C3404" w:rsidP="00575229">
      <w:pPr>
        <w:pStyle w:val="ListParagraph"/>
        <w:numPr>
          <w:ilvl w:val="0"/>
          <w:numId w:val="18"/>
        </w:numPr>
        <w:ind w:left="1080"/>
      </w:pPr>
      <w:r>
        <w:t xml:space="preserve">Cost </w:t>
      </w:r>
      <w:r w:rsidR="00B002ED">
        <w:t>a</w:t>
      </w:r>
      <w:r>
        <w:t>nalyses to address</w:t>
      </w:r>
      <w:r w:rsidR="00B002ED">
        <w:t xml:space="preserve"> the data warehouse needs and sustainability. </w:t>
      </w:r>
    </w:p>
    <w:p w14:paraId="635A33C7" w14:textId="77777777" w:rsidR="00575229" w:rsidRPr="00871759" w:rsidRDefault="00575229" w:rsidP="00575229">
      <w:pPr>
        <w:pStyle w:val="ListParagraph"/>
        <w:numPr>
          <w:ilvl w:val="0"/>
          <w:numId w:val="18"/>
        </w:numPr>
        <w:ind w:left="1080"/>
      </w:pPr>
      <w:r w:rsidRPr="00871759">
        <w:t>Obtain feedback from modeling contractors on level-of-effort/resources to coordinate efforts with IWDW and develop tools to address Cooperators requests pertaining to visualization tools.</w:t>
      </w:r>
    </w:p>
    <w:p w14:paraId="16813B3A" w14:textId="77777777" w:rsidR="00575229" w:rsidRDefault="00575229" w:rsidP="00B002ED">
      <w:pPr>
        <w:pStyle w:val="ListParagraph"/>
        <w:ind w:left="1080"/>
      </w:pPr>
    </w:p>
    <w:p w14:paraId="76C9E30E" w14:textId="77777777" w:rsidR="004C3404" w:rsidRDefault="004C3404" w:rsidP="004C3404">
      <w:pPr>
        <w:ind w:left="360"/>
      </w:pPr>
      <w:r>
        <w:t xml:space="preserve">The deliverables of the </w:t>
      </w:r>
      <w:r w:rsidR="0072030E">
        <w:t xml:space="preserve">data warehouse work </w:t>
      </w:r>
      <w:r>
        <w:t>include:</w:t>
      </w:r>
    </w:p>
    <w:p w14:paraId="3A1878C3" w14:textId="77777777" w:rsidR="004C3404" w:rsidRDefault="004C3404" w:rsidP="00C67432">
      <w:pPr>
        <w:pStyle w:val="ListParagraph"/>
        <w:numPr>
          <w:ilvl w:val="0"/>
          <w:numId w:val="17"/>
        </w:numPr>
        <w:ind w:left="1080"/>
      </w:pPr>
      <w:r>
        <w:t>Protocol outlining specific work objectives, procedures, and activities, type of assistance and information needed from the Cooperating Agencies, and timeframes.</w:t>
      </w:r>
    </w:p>
    <w:p w14:paraId="57DDA13D" w14:textId="77777777" w:rsidR="004C3404" w:rsidRDefault="004C3404" w:rsidP="00C67432">
      <w:pPr>
        <w:pStyle w:val="ListParagraph"/>
        <w:numPr>
          <w:ilvl w:val="0"/>
          <w:numId w:val="17"/>
        </w:numPr>
        <w:ind w:left="1080"/>
      </w:pPr>
      <w:r>
        <w:t xml:space="preserve">Progress reports outlining completed and upcoming work, challenges, changes to the </w:t>
      </w:r>
      <w:r w:rsidR="002628C4">
        <w:t>protocol</w:t>
      </w:r>
      <w:r>
        <w:t>, and resources.</w:t>
      </w:r>
    </w:p>
    <w:p w14:paraId="6C7F772D" w14:textId="77777777" w:rsidR="00BB23E8" w:rsidRDefault="00B002ED" w:rsidP="00C67432">
      <w:pPr>
        <w:pStyle w:val="ListParagraph"/>
        <w:numPr>
          <w:ilvl w:val="0"/>
          <w:numId w:val="17"/>
        </w:numPr>
        <w:ind w:left="1080"/>
      </w:pPr>
      <w:r>
        <w:t xml:space="preserve">Data </w:t>
      </w:r>
      <w:r w:rsidR="002628C4">
        <w:t xml:space="preserve">warehouse assessment final report </w:t>
      </w:r>
      <w:r w:rsidR="004C3404">
        <w:t xml:space="preserve">that addresses the objectives of the evaluation and provides recommendations to the Cooperating Agencies.  </w:t>
      </w:r>
    </w:p>
    <w:p w14:paraId="710BE744" w14:textId="77777777" w:rsidR="00BB23E8" w:rsidRDefault="00BB23E8" w:rsidP="00C67432">
      <w:pPr>
        <w:pStyle w:val="ListParagraph"/>
        <w:numPr>
          <w:ilvl w:val="0"/>
          <w:numId w:val="17"/>
        </w:numPr>
        <w:ind w:left="1080"/>
      </w:pPr>
      <w:r w:rsidRPr="001B5A4C">
        <w:t>Tr</w:t>
      </w:r>
      <w:r>
        <w:t>ansfer all work products</w:t>
      </w:r>
      <w:r w:rsidRPr="001B5A4C">
        <w:t xml:space="preserve"> to </w:t>
      </w:r>
      <w:r w:rsidR="004C4ED8">
        <w:t xml:space="preserve">the </w:t>
      </w:r>
      <w:r w:rsidRPr="001B5A4C">
        <w:t>IWDW.</w:t>
      </w:r>
    </w:p>
    <w:p w14:paraId="70B40786" w14:textId="77777777" w:rsidR="000536B9" w:rsidRPr="00181630" w:rsidRDefault="000536B9" w:rsidP="00BB3A33">
      <w:pPr>
        <w:ind w:left="360"/>
      </w:pPr>
    </w:p>
    <w:p w14:paraId="45918834" w14:textId="77777777" w:rsidR="0024156F" w:rsidRDefault="009A1333" w:rsidP="0024156F">
      <w:pPr>
        <w:pStyle w:val="ListParagraph"/>
        <w:numPr>
          <w:ilvl w:val="0"/>
          <w:numId w:val="1"/>
        </w:numPr>
      </w:pPr>
      <w:r>
        <w:t>Milestones and Timeline</w:t>
      </w:r>
    </w:p>
    <w:p w14:paraId="7B231BB6" w14:textId="77777777" w:rsidR="00EC0B61" w:rsidRDefault="00EC0B61" w:rsidP="0024156F">
      <w:pPr>
        <w:pStyle w:val="ListParagraph"/>
        <w:ind w:left="360"/>
      </w:pPr>
    </w:p>
    <w:p w14:paraId="7BD1148F" w14:textId="75EB19EB" w:rsidR="00DE0D7B" w:rsidRPr="00825FA5" w:rsidRDefault="00DE0D7B" w:rsidP="00471B0F">
      <w:pPr>
        <w:pStyle w:val="ListParagraph"/>
        <w:ind w:left="360"/>
      </w:pPr>
      <w:r>
        <w:t xml:space="preserve">Projected </w:t>
      </w:r>
      <w:r w:rsidR="00471B0F">
        <w:t>e</w:t>
      </w:r>
      <w:r w:rsidRPr="00825FA5">
        <w:t xml:space="preserve">mission </w:t>
      </w:r>
      <w:r w:rsidR="00471B0F">
        <w:t>inventory and air quality m</w:t>
      </w:r>
      <w:r w:rsidRPr="00825FA5">
        <w:t xml:space="preserve">odeling </w:t>
      </w:r>
      <w:r w:rsidR="00471B0F">
        <w:t xml:space="preserve">work will begin </w:t>
      </w:r>
      <w:r w:rsidR="00123F81">
        <w:t>as funding is available and the contractor team</w:t>
      </w:r>
      <w:r w:rsidR="003140A6">
        <w:t xml:space="preserve"> is in place</w:t>
      </w:r>
      <w:r w:rsidR="00471B0F">
        <w:t>. A detailed timeline will be provided to the Cooperators once the tasks are coordinated with the contractor team.</w:t>
      </w:r>
      <w:r w:rsidR="00D611C2">
        <w:t xml:space="preserve"> </w:t>
      </w:r>
      <w:r w:rsidR="00471B0F">
        <w:t xml:space="preserve">The work products </w:t>
      </w:r>
      <w:r w:rsidR="003140A6">
        <w:t xml:space="preserve">will </w:t>
      </w:r>
      <w:r w:rsidR="00471B0F">
        <w:t xml:space="preserve">be produced over the following two to three years. </w:t>
      </w:r>
    </w:p>
    <w:p w14:paraId="1F0EB873" w14:textId="77777777" w:rsidR="00DE0D7B" w:rsidRPr="00825FA5" w:rsidRDefault="00DE0D7B" w:rsidP="00DE0D7B">
      <w:pPr>
        <w:pStyle w:val="ListParagraph"/>
        <w:ind w:left="360"/>
      </w:pPr>
    </w:p>
    <w:p w14:paraId="1A1AE94A" w14:textId="77777777" w:rsidR="009A1333" w:rsidRDefault="00EC0B61" w:rsidP="0090076F">
      <w:pPr>
        <w:pStyle w:val="ListParagraph"/>
        <w:numPr>
          <w:ilvl w:val="0"/>
          <w:numId w:val="1"/>
        </w:numPr>
      </w:pPr>
      <w:r>
        <w:t xml:space="preserve">Anticipated Budget </w:t>
      </w:r>
    </w:p>
    <w:p w14:paraId="15746CD0" w14:textId="77777777" w:rsidR="00DB4B8A" w:rsidRDefault="00DB4B8A" w:rsidP="00DE0D7B">
      <w:pPr>
        <w:pStyle w:val="ListParagraph"/>
        <w:ind w:left="360"/>
      </w:pPr>
    </w:p>
    <w:p w14:paraId="16E1DA6A" w14:textId="67D96AC7" w:rsidR="00C62AF5" w:rsidRDefault="00DE0D7B" w:rsidP="007745B6">
      <w:pPr>
        <w:pStyle w:val="ListParagraph"/>
        <w:ind w:left="360"/>
      </w:pPr>
      <w:r w:rsidRPr="00825FA5">
        <w:t>Emissions Inventory and Modeling Platform Budget:</w:t>
      </w:r>
      <w:r w:rsidR="0059220B">
        <w:t xml:space="preserve"> The estimated amount to complete a new modeling platform may be as much as</w:t>
      </w:r>
      <w:r>
        <w:t xml:space="preserve"> </w:t>
      </w:r>
      <w:r w:rsidR="00B94B18">
        <w:t>$1 million or more but</w:t>
      </w:r>
      <w:r w:rsidR="00307196">
        <w:t xml:space="preserve"> is dependent on when and how much funding is made available during the triennial workplan</w:t>
      </w:r>
      <w:r w:rsidR="00B94B18">
        <w:t xml:space="preserve"> period</w:t>
      </w:r>
      <w:r w:rsidR="0059220B">
        <w:t xml:space="preserve">. This amount will need to be </w:t>
      </w:r>
      <w:r>
        <w:t>provided by IWDW-WAQS Cooperators</w:t>
      </w:r>
      <w:r w:rsidR="00547023">
        <w:t xml:space="preserve"> and </w:t>
      </w:r>
      <w:r w:rsidR="00307196">
        <w:t xml:space="preserve">may be </w:t>
      </w:r>
      <w:r w:rsidR="00547023">
        <w:t>supplemented by other entities</w:t>
      </w:r>
      <w:r w:rsidR="00307196">
        <w:t xml:space="preserve"> with analysis needs</w:t>
      </w:r>
      <w:r w:rsidR="00547023">
        <w:t xml:space="preserve"> (e.g., </w:t>
      </w:r>
      <w:r w:rsidR="00307196">
        <w:t>WESTAR-</w:t>
      </w:r>
      <w:r w:rsidR="00547023">
        <w:t>WRAP, external groups, etc.)</w:t>
      </w:r>
      <w:r w:rsidR="00DB4B8A">
        <w:t>.</w:t>
      </w:r>
      <w:r w:rsidR="00471B0F" w:rsidRPr="00471B0F">
        <w:t xml:space="preserve"> </w:t>
      </w:r>
      <w:r w:rsidR="00483DE9">
        <w:t>Based on</w:t>
      </w:r>
      <w:r w:rsidR="003140A6">
        <w:t xml:space="preserve"> funding is available from the Cooperators, a</w:t>
      </w:r>
      <w:r w:rsidR="00471B0F">
        <w:t xml:space="preserve"> detailed budget will be </w:t>
      </w:r>
      <w:r w:rsidR="00307196">
        <w:t>decided for at least the first year of th</w:t>
      </w:r>
      <w:r w:rsidR="00483DE9">
        <w:t>is</w:t>
      </w:r>
      <w:r w:rsidR="00307196">
        <w:t xml:space="preserve"> 3-year workplan by the Cooperators as part of adopting this workplan.  The budget </w:t>
      </w:r>
      <w:r w:rsidR="0090626A">
        <w:t xml:space="preserve">of funding available </w:t>
      </w:r>
      <w:r w:rsidR="00307196">
        <w:t xml:space="preserve">will be added to this document and the exact allocations to IWDW support and operations and WAQS modeling tasks </w:t>
      </w:r>
      <w:r w:rsidR="00307196">
        <w:lastRenderedPageBreak/>
        <w:t xml:space="preserve">will be reviewed with the </w:t>
      </w:r>
      <w:r w:rsidR="00B94B18">
        <w:t>Oversight</w:t>
      </w:r>
      <w:r w:rsidR="00307196">
        <w:t xml:space="preserve"> Committee </w:t>
      </w:r>
      <w:r w:rsidR="00471B0F">
        <w:t xml:space="preserve">once the </w:t>
      </w:r>
      <w:r w:rsidR="00307196">
        <w:t xml:space="preserve">specific </w:t>
      </w:r>
      <w:r w:rsidR="003140A6">
        <w:t xml:space="preserve">contract </w:t>
      </w:r>
      <w:r w:rsidR="00471B0F">
        <w:t>tasks are coordinated with the contractor team.</w:t>
      </w:r>
      <w:r w:rsidR="00547023">
        <w:t xml:space="preserve"> </w:t>
      </w:r>
    </w:p>
    <w:p w14:paraId="11FDF1EC" w14:textId="77777777" w:rsidR="00C62AF5" w:rsidRDefault="00C62AF5" w:rsidP="007745B6">
      <w:pPr>
        <w:pStyle w:val="ListParagraph"/>
        <w:ind w:left="360"/>
      </w:pPr>
    </w:p>
    <w:p w14:paraId="72A4DC47" w14:textId="2BADAA03" w:rsidR="00547023" w:rsidRDefault="00547023" w:rsidP="00C62AF5">
      <w:pPr>
        <w:pStyle w:val="ListParagraph"/>
        <w:ind w:left="360"/>
      </w:pPr>
      <w:r>
        <w:t>While the</w:t>
      </w:r>
      <w:r w:rsidR="00C62AF5">
        <w:t xml:space="preserve"> following values</w:t>
      </w:r>
      <w:r>
        <w:t xml:space="preserve"> are subject to change, </w:t>
      </w:r>
      <w:r w:rsidR="00307196">
        <w:t xml:space="preserve">current </w:t>
      </w:r>
      <w:r w:rsidR="00C62AF5">
        <w:t>e</w:t>
      </w:r>
      <w:r>
        <w:t>stimated costs</w:t>
      </w:r>
      <w:r w:rsidR="00C62AF5">
        <w:rPr>
          <w:rStyle w:val="FootnoteReference"/>
        </w:rPr>
        <w:footnoteReference w:id="12"/>
      </w:r>
      <w:r>
        <w:t xml:space="preserve"> of sustaining the IWDW-WAQS are:</w:t>
      </w:r>
    </w:p>
    <w:p w14:paraId="39A37B8A" w14:textId="3B164C97" w:rsidR="00547023" w:rsidRDefault="00547023" w:rsidP="00547023">
      <w:pPr>
        <w:pStyle w:val="NoSpacing"/>
        <w:numPr>
          <w:ilvl w:val="1"/>
          <w:numId w:val="41"/>
        </w:numPr>
        <w:ind w:left="1080"/>
        <w:rPr>
          <w:rFonts w:ascii="Times New Roman" w:hAnsi="Times New Roman" w:cs="Times New Roman"/>
          <w:sz w:val="24"/>
          <w:szCs w:val="24"/>
        </w:rPr>
      </w:pPr>
      <w:r>
        <w:rPr>
          <w:rFonts w:ascii="Times New Roman" w:hAnsi="Times New Roman" w:cs="Times New Roman"/>
          <w:sz w:val="24"/>
          <w:szCs w:val="24"/>
        </w:rPr>
        <w:t xml:space="preserve">Emissions Inventory and Air Quality Modeling </w:t>
      </w:r>
      <w:r w:rsidR="00307196">
        <w:rPr>
          <w:rFonts w:ascii="Times New Roman" w:hAnsi="Times New Roman" w:cs="Times New Roman"/>
          <w:sz w:val="24"/>
          <w:szCs w:val="24"/>
        </w:rPr>
        <w:t>each</w:t>
      </w:r>
      <w:r>
        <w:rPr>
          <w:rFonts w:ascii="Times New Roman" w:hAnsi="Times New Roman" w:cs="Times New Roman"/>
          <w:sz w:val="24"/>
          <w:szCs w:val="24"/>
        </w:rPr>
        <w:t xml:space="preserve"> 3-year </w:t>
      </w:r>
      <w:r w:rsidR="00307196">
        <w:rPr>
          <w:rFonts w:ascii="Times New Roman" w:hAnsi="Times New Roman" w:cs="Times New Roman"/>
          <w:sz w:val="24"/>
          <w:szCs w:val="24"/>
        </w:rPr>
        <w:t>c</w:t>
      </w:r>
      <w:r>
        <w:rPr>
          <w:rFonts w:ascii="Times New Roman" w:hAnsi="Times New Roman" w:cs="Times New Roman"/>
          <w:sz w:val="24"/>
          <w:szCs w:val="24"/>
        </w:rPr>
        <w:t xml:space="preserve">ycle: </w:t>
      </w:r>
      <w:r w:rsidRPr="00737536">
        <w:rPr>
          <w:rFonts w:ascii="Times New Roman" w:hAnsi="Times New Roman" w:cs="Times New Roman"/>
          <w:sz w:val="24"/>
          <w:szCs w:val="24"/>
        </w:rPr>
        <w:t>$</w:t>
      </w:r>
      <w:r w:rsidR="00C62AF5">
        <w:rPr>
          <w:rFonts w:ascii="Times New Roman" w:hAnsi="Times New Roman" w:cs="Times New Roman"/>
          <w:sz w:val="24"/>
          <w:szCs w:val="24"/>
        </w:rPr>
        <w:t>1</w:t>
      </w:r>
      <w:r w:rsidRPr="00737536">
        <w:rPr>
          <w:rFonts w:ascii="Times New Roman" w:hAnsi="Times New Roman" w:cs="Times New Roman"/>
          <w:sz w:val="24"/>
          <w:szCs w:val="24"/>
        </w:rPr>
        <w:t>.</w:t>
      </w:r>
      <w:r w:rsidR="00C62AF5">
        <w:rPr>
          <w:rFonts w:ascii="Times New Roman" w:hAnsi="Times New Roman" w:cs="Times New Roman"/>
          <w:sz w:val="24"/>
          <w:szCs w:val="24"/>
        </w:rPr>
        <w:t>6</w:t>
      </w:r>
      <w:r w:rsidRPr="00737536">
        <w:rPr>
          <w:rFonts w:ascii="Times New Roman" w:hAnsi="Times New Roman" w:cs="Times New Roman"/>
          <w:sz w:val="24"/>
          <w:szCs w:val="24"/>
        </w:rPr>
        <w:t xml:space="preserve"> million</w:t>
      </w:r>
    </w:p>
    <w:p w14:paraId="29BFB2AE" w14:textId="40766DA1" w:rsidR="00547023" w:rsidRPr="00CD1092" w:rsidRDefault="00547023" w:rsidP="00547023">
      <w:pPr>
        <w:pStyle w:val="NoSpacing"/>
        <w:numPr>
          <w:ilvl w:val="1"/>
          <w:numId w:val="41"/>
        </w:numPr>
        <w:ind w:left="1080"/>
      </w:pPr>
      <w:r>
        <w:rPr>
          <w:rFonts w:ascii="Times New Roman" w:hAnsi="Times New Roman" w:cs="Times New Roman"/>
          <w:sz w:val="24"/>
          <w:szCs w:val="24"/>
        </w:rPr>
        <w:t xml:space="preserve">Operation and Maintenance of Data Warehouse Per Year: </w:t>
      </w:r>
      <w:r w:rsidRPr="00737536">
        <w:rPr>
          <w:rFonts w:ascii="Times New Roman" w:hAnsi="Times New Roman" w:cs="Times New Roman"/>
          <w:sz w:val="24"/>
          <w:szCs w:val="24"/>
        </w:rPr>
        <w:t>$</w:t>
      </w:r>
      <w:r w:rsidR="00B94B18">
        <w:rPr>
          <w:rFonts w:ascii="Times New Roman" w:hAnsi="Times New Roman" w:cs="Times New Roman"/>
          <w:sz w:val="24"/>
          <w:szCs w:val="24"/>
        </w:rPr>
        <w:t>2</w:t>
      </w:r>
      <w:r w:rsidRPr="00737536">
        <w:rPr>
          <w:rFonts w:ascii="Times New Roman" w:hAnsi="Times New Roman" w:cs="Times New Roman"/>
          <w:sz w:val="24"/>
          <w:szCs w:val="24"/>
        </w:rPr>
        <w:t>3</w:t>
      </w:r>
      <w:r w:rsidR="00B94B18">
        <w:rPr>
          <w:rFonts w:ascii="Times New Roman" w:hAnsi="Times New Roman" w:cs="Times New Roman"/>
          <w:sz w:val="24"/>
          <w:szCs w:val="24"/>
        </w:rPr>
        <w:t>5k</w:t>
      </w:r>
      <w:r w:rsidR="00C62AF5">
        <w:rPr>
          <w:rFonts w:ascii="Times New Roman" w:hAnsi="Times New Roman" w:cs="Times New Roman"/>
          <w:sz w:val="24"/>
          <w:szCs w:val="24"/>
        </w:rPr>
        <w:t xml:space="preserve"> </w:t>
      </w:r>
      <w:r w:rsidRPr="00737536">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3A369002" w14:textId="62CA575D" w:rsidR="00547023" w:rsidRPr="00181630" w:rsidRDefault="00547023" w:rsidP="00547023">
      <w:pPr>
        <w:pStyle w:val="NoSpacing"/>
        <w:numPr>
          <w:ilvl w:val="1"/>
          <w:numId w:val="41"/>
        </w:numPr>
        <w:ind w:left="1080"/>
      </w:pPr>
      <w:r>
        <w:rPr>
          <w:rFonts w:ascii="Times New Roman" w:hAnsi="Times New Roman" w:cs="Times New Roman"/>
          <w:sz w:val="24"/>
          <w:szCs w:val="24"/>
        </w:rPr>
        <w:t xml:space="preserve">Project Coordination: </w:t>
      </w:r>
      <w:r w:rsidR="00307196">
        <w:rPr>
          <w:rFonts w:ascii="Times New Roman" w:hAnsi="Times New Roman" w:cs="Times New Roman"/>
          <w:sz w:val="24"/>
          <w:szCs w:val="24"/>
        </w:rPr>
        <w:t xml:space="preserve">20% of FTE </w:t>
      </w:r>
      <w:r w:rsidR="00B94B18">
        <w:rPr>
          <w:rFonts w:ascii="Times New Roman" w:hAnsi="Times New Roman" w:cs="Times New Roman"/>
          <w:sz w:val="24"/>
          <w:szCs w:val="24"/>
        </w:rPr>
        <w:t xml:space="preserve">staff person </w:t>
      </w:r>
      <w:r w:rsidR="00307196">
        <w:rPr>
          <w:rFonts w:ascii="Times New Roman" w:hAnsi="Times New Roman" w:cs="Times New Roman"/>
          <w:sz w:val="24"/>
          <w:szCs w:val="24"/>
        </w:rPr>
        <w:t xml:space="preserve">at WESTAR-WRAP, </w:t>
      </w:r>
      <w:r>
        <w:rPr>
          <w:rFonts w:ascii="Times New Roman" w:hAnsi="Times New Roman" w:cs="Times New Roman"/>
          <w:sz w:val="24"/>
          <w:szCs w:val="24"/>
        </w:rPr>
        <w:t>subject to on-going evaluation</w:t>
      </w:r>
    </w:p>
    <w:p w14:paraId="5A3F6B8D" w14:textId="77777777" w:rsidR="00547023" w:rsidRDefault="00547023" w:rsidP="00547023"/>
    <w:p w14:paraId="2E7F327E" w14:textId="3ED9388F" w:rsidR="00DE0D7B" w:rsidRDefault="00547023" w:rsidP="00547023">
      <w:pPr>
        <w:pStyle w:val="ListParagraph"/>
        <w:ind w:left="360"/>
      </w:pPr>
      <w:r>
        <w:t xml:space="preserve">In addition, all the Cooperating Agencies have contributed significant in-kind resources. </w:t>
      </w:r>
      <w:r w:rsidR="00C62AF5">
        <w:t>T</w:t>
      </w:r>
      <w:r>
        <w:t xml:space="preserve">he Cooperating Agencies will </w:t>
      </w:r>
      <w:r w:rsidR="00C62AF5">
        <w:t xml:space="preserve">need to </w:t>
      </w:r>
      <w:r>
        <w:t xml:space="preserve">continue to seek funding on an annual basis to maintain the operations of the IWDW and support the air quality monitoring and modeling work.  </w:t>
      </w:r>
    </w:p>
    <w:p w14:paraId="5554A243" w14:textId="77777777" w:rsidR="00DB4B8A" w:rsidRDefault="00DB4B8A" w:rsidP="00DE0D7B">
      <w:pPr>
        <w:pStyle w:val="ListParagraph"/>
        <w:ind w:left="360"/>
      </w:pPr>
    </w:p>
    <w:p w14:paraId="2AE1BA5C" w14:textId="77777777" w:rsidR="00EC0B61" w:rsidRDefault="00EC0B61" w:rsidP="009A1333"/>
    <w:p w14:paraId="30B722FB" w14:textId="77777777" w:rsidR="00DE0D7B" w:rsidRDefault="00DE0D7B" w:rsidP="009A1333">
      <w:pPr>
        <w:sectPr w:rsidR="00DE0D7B" w:rsidSect="00483DE9">
          <w:headerReference w:type="default" r:id="rId8"/>
          <w:footerReference w:type="default" r:id="rId9"/>
          <w:pgSz w:w="12240" w:h="15840"/>
          <w:pgMar w:top="1440" w:right="1080" w:bottom="1260" w:left="1080" w:header="720" w:footer="720" w:gutter="0"/>
          <w:cols w:space="720"/>
          <w:docGrid w:linePitch="360"/>
        </w:sectPr>
      </w:pPr>
    </w:p>
    <w:p w14:paraId="0D95986D" w14:textId="77777777" w:rsidR="009A1333" w:rsidRPr="005E57B8" w:rsidRDefault="00084648" w:rsidP="005E57B8">
      <w:pPr>
        <w:pStyle w:val="NoSpacing"/>
        <w:rPr>
          <w:rFonts w:ascii="Times New Roman" w:hAnsi="Times New Roman" w:cs="Times New Roman"/>
          <w:b/>
          <w:sz w:val="24"/>
          <w:szCs w:val="24"/>
        </w:rPr>
      </w:pPr>
      <w:r w:rsidRPr="005E57B8">
        <w:rPr>
          <w:rFonts w:ascii="Times New Roman" w:hAnsi="Times New Roman" w:cs="Times New Roman"/>
          <w:b/>
          <w:sz w:val="24"/>
          <w:szCs w:val="24"/>
        </w:rPr>
        <w:lastRenderedPageBreak/>
        <w:t xml:space="preserve">APPENDIX </w:t>
      </w:r>
      <w:r w:rsidR="003E4C89">
        <w:rPr>
          <w:rFonts w:ascii="Times New Roman" w:hAnsi="Times New Roman" w:cs="Times New Roman"/>
          <w:b/>
          <w:sz w:val="24"/>
          <w:szCs w:val="24"/>
        </w:rPr>
        <w:t>A</w:t>
      </w:r>
      <w:r w:rsidRPr="005E57B8">
        <w:rPr>
          <w:rFonts w:ascii="Times New Roman" w:hAnsi="Times New Roman" w:cs="Times New Roman"/>
          <w:b/>
          <w:sz w:val="24"/>
          <w:szCs w:val="24"/>
        </w:rPr>
        <w:t xml:space="preserve">: </w:t>
      </w:r>
      <w:r w:rsidR="002737F3" w:rsidRPr="005E57B8">
        <w:rPr>
          <w:rFonts w:ascii="Times New Roman" w:hAnsi="Times New Roman" w:cs="Times New Roman"/>
          <w:b/>
          <w:sz w:val="24"/>
          <w:szCs w:val="24"/>
        </w:rPr>
        <w:t xml:space="preserve">ADDITIONAL </w:t>
      </w:r>
      <w:r w:rsidRPr="005E57B8">
        <w:rPr>
          <w:rFonts w:ascii="Times New Roman" w:hAnsi="Times New Roman" w:cs="Times New Roman"/>
          <w:b/>
          <w:sz w:val="24"/>
          <w:szCs w:val="24"/>
        </w:rPr>
        <w:t>FUTURE-YEAR SCENARIOS FOR NEPA ANALYSES</w:t>
      </w:r>
    </w:p>
    <w:p w14:paraId="3F054FC2" w14:textId="77777777" w:rsidR="00084648" w:rsidRDefault="00084648" w:rsidP="005E57B8">
      <w:pPr>
        <w:pStyle w:val="NoSpacing"/>
        <w:rPr>
          <w:rFonts w:ascii="Times New Roman" w:hAnsi="Times New Roman" w:cs="Times New Roman"/>
          <w:sz w:val="24"/>
          <w:szCs w:val="24"/>
        </w:rPr>
      </w:pPr>
      <w:bookmarkStart w:id="2" w:name="_Hlk521656056"/>
    </w:p>
    <w:p w14:paraId="49D1AE3A" w14:textId="77777777" w:rsidR="00E042C5" w:rsidRPr="00E042C5" w:rsidRDefault="00E042C5" w:rsidP="00D23BD1">
      <w:pPr>
        <w:pStyle w:val="NoSpacing"/>
        <w:numPr>
          <w:ilvl w:val="0"/>
          <w:numId w:val="39"/>
        </w:numPr>
        <w:rPr>
          <w:rFonts w:ascii="Times New Roman" w:hAnsi="Times New Roman" w:cs="Times New Roman"/>
          <w:b/>
          <w:sz w:val="24"/>
          <w:szCs w:val="24"/>
        </w:rPr>
      </w:pPr>
      <w:r>
        <w:rPr>
          <w:rFonts w:ascii="Times New Roman" w:hAnsi="Times New Roman" w:cs="Times New Roman"/>
          <w:b/>
          <w:sz w:val="24"/>
          <w:szCs w:val="24"/>
        </w:rPr>
        <w:t>BACKGROUND</w:t>
      </w:r>
    </w:p>
    <w:p w14:paraId="0C15BE5E" w14:textId="77777777" w:rsidR="00E042C5" w:rsidRDefault="00E042C5" w:rsidP="00E042C5">
      <w:pPr>
        <w:ind w:left="360"/>
      </w:pPr>
    </w:p>
    <w:p w14:paraId="3934C0B7" w14:textId="77777777" w:rsidR="00E042C5" w:rsidRDefault="00E042C5" w:rsidP="00D23BD1">
      <w:pPr>
        <w:ind w:left="720"/>
      </w:pPr>
      <w:r w:rsidRPr="005E57B8">
        <w:t>The BLM is typically the lead agency for oil and gas NEPA air quality assessments in the intermountain</w:t>
      </w:r>
      <w:r>
        <w:t xml:space="preserve"> west. As a result, the BLM has had the opportunity to utilize and observe the benefits of the IWDW-WAQS products in numerous NEPA air quality assessments. The BLM has also identified some challenges in utilizing the IWDW-WAQS products. In particular, the BLM has identified a need for additional future-year scenarios that align more closely with their reasonably foreseeable development (RFD) to further support their project and planning efforts</w:t>
      </w:r>
      <w:r w:rsidRPr="00412F53">
        <w:t>.</w:t>
      </w:r>
      <w:r>
        <w:t xml:space="preserve"> </w:t>
      </w:r>
    </w:p>
    <w:p w14:paraId="37D1F889" w14:textId="77777777" w:rsidR="00E042C5" w:rsidRDefault="00E042C5" w:rsidP="00D23BD1">
      <w:pPr>
        <w:pStyle w:val="NoSpacing"/>
        <w:ind w:left="720"/>
        <w:rPr>
          <w:rFonts w:ascii="Times New Roman" w:hAnsi="Times New Roman" w:cs="Times New Roman"/>
          <w:b/>
          <w:sz w:val="24"/>
          <w:szCs w:val="24"/>
        </w:rPr>
      </w:pPr>
    </w:p>
    <w:p w14:paraId="0D386143" w14:textId="77777777" w:rsidR="00307BD8" w:rsidRDefault="00E042C5" w:rsidP="00D23BD1">
      <w:pPr>
        <w:ind w:left="720"/>
      </w:pPr>
      <w:r>
        <w:t xml:space="preserve">Currently, the approach approved by the Cooperators </w:t>
      </w:r>
      <w:r w:rsidRPr="00FC7A5D">
        <w:t>for requesting and using IWDW data in NEPA projects</w:t>
      </w:r>
      <w:r>
        <w:t xml:space="preserve"> has been documented in the NEPA-IWDW Process Outline</w:t>
      </w:r>
      <w:r w:rsidRPr="00FC7A5D">
        <w:t>.</w:t>
      </w:r>
      <w:r>
        <w:rPr>
          <w:rStyle w:val="FootnoteReference"/>
        </w:rPr>
        <w:footnoteReference w:id="13"/>
      </w:r>
      <w:r w:rsidRPr="00FC7A5D">
        <w:t xml:space="preserve"> Briefly,</w:t>
      </w:r>
      <w:r>
        <w:t xml:space="preserve"> the primary approach recommended for new NEPA projects includes running the </w:t>
      </w:r>
      <w:r w:rsidRPr="00FC7A5D">
        <w:t>future-year baseline PGM simulation with the</w:t>
      </w:r>
      <w:r>
        <w:t xml:space="preserve"> project emissions scenario(s) and</w:t>
      </w:r>
      <w:r w:rsidRPr="00FC7A5D">
        <w:t xml:space="preserve"> available products and model configurations</w:t>
      </w:r>
      <w:r>
        <w:t xml:space="preserve"> from the IWDW (i.e., use IWDW products “as-is”)</w:t>
      </w:r>
      <w:r w:rsidRPr="00FC7A5D">
        <w:t>.</w:t>
      </w:r>
      <w:r>
        <w:t xml:space="preserve"> Any deviations from the process or</w:t>
      </w:r>
      <w:r w:rsidRPr="00FC7A5D">
        <w:t xml:space="preserve"> </w:t>
      </w:r>
      <w:r>
        <w:t xml:space="preserve">changes to the model files could require additional model performance evaluations. </w:t>
      </w:r>
      <w:r w:rsidR="00307BD8">
        <w:t>However, the BLM has found that this approach does not support the NEPA projects</w:t>
      </w:r>
      <w:r w:rsidR="0069391C">
        <w:t xml:space="preserve"> in the BLM offices.</w:t>
      </w:r>
    </w:p>
    <w:p w14:paraId="46F7F160" w14:textId="77777777" w:rsidR="00307BD8" w:rsidRDefault="00307BD8" w:rsidP="00D23BD1">
      <w:pPr>
        <w:ind w:left="720"/>
      </w:pPr>
    </w:p>
    <w:p w14:paraId="30F3C5E5" w14:textId="77777777" w:rsidR="0069391C" w:rsidRPr="00FC7A5D" w:rsidRDefault="0069391C" w:rsidP="00D23BD1">
      <w:pPr>
        <w:ind w:left="720"/>
      </w:pPr>
      <w:r>
        <w:t>Given this information, the Cooperators will need to consider an approach that is technically feasible to assist NEPA assessments that cannot utilize the NEPA-IWDW Process Outline currently approved by the Cooperators.</w:t>
      </w:r>
    </w:p>
    <w:p w14:paraId="12FBA9C0" w14:textId="77777777" w:rsidR="00E042C5" w:rsidRDefault="00E042C5" w:rsidP="005E57B8">
      <w:pPr>
        <w:pStyle w:val="NoSpacing"/>
        <w:rPr>
          <w:rFonts w:ascii="Times New Roman" w:hAnsi="Times New Roman" w:cs="Times New Roman"/>
          <w:b/>
          <w:sz w:val="24"/>
          <w:szCs w:val="24"/>
        </w:rPr>
      </w:pPr>
    </w:p>
    <w:p w14:paraId="5BABF022" w14:textId="77777777" w:rsidR="00E042C5" w:rsidRDefault="00D23BD1" w:rsidP="00D23BD1">
      <w:pPr>
        <w:pStyle w:val="NoSpacing"/>
        <w:numPr>
          <w:ilvl w:val="0"/>
          <w:numId w:val="39"/>
        </w:numPr>
        <w:rPr>
          <w:rFonts w:ascii="Times New Roman" w:hAnsi="Times New Roman" w:cs="Times New Roman"/>
          <w:b/>
          <w:sz w:val="24"/>
          <w:szCs w:val="24"/>
        </w:rPr>
      </w:pPr>
      <w:r>
        <w:rPr>
          <w:rFonts w:ascii="Times New Roman" w:hAnsi="Times New Roman" w:cs="Times New Roman"/>
          <w:b/>
          <w:sz w:val="24"/>
          <w:szCs w:val="24"/>
        </w:rPr>
        <w:t xml:space="preserve">DESCRIPTION OF </w:t>
      </w:r>
      <w:r w:rsidR="00E042C5">
        <w:rPr>
          <w:rFonts w:ascii="Times New Roman" w:hAnsi="Times New Roman" w:cs="Times New Roman"/>
          <w:b/>
          <w:sz w:val="24"/>
          <w:szCs w:val="24"/>
        </w:rPr>
        <w:t>NEW WORK PRODUCTS</w:t>
      </w:r>
    </w:p>
    <w:p w14:paraId="6E2829D5" w14:textId="77777777" w:rsidR="0069391C" w:rsidRDefault="0069391C" w:rsidP="005E57B8">
      <w:pPr>
        <w:pStyle w:val="NoSpacing"/>
        <w:rPr>
          <w:rFonts w:ascii="Times New Roman" w:hAnsi="Times New Roman" w:cs="Times New Roman"/>
          <w:sz w:val="24"/>
          <w:szCs w:val="24"/>
        </w:rPr>
      </w:pPr>
    </w:p>
    <w:p w14:paraId="15D9B649" w14:textId="77777777" w:rsidR="0069391C" w:rsidRDefault="0069391C" w:rsidP="00D23BD1">
      <w:pPr>
        <w:ind w:left="720"/>
      </w:pPr>
      <w:r w:rsidRPr="00412F53">
        <w:t xml:space="preserve">Given the uncertainty in oil and gas development, the BLM </w:t>
      </w:r>
      <w:r>
        <w:t>has found that</w:t>
      </w:r>
      <w:r w:rsidRPr="00412F53">
        <w:t xml:space="preserve"> “high”, “medium”, and “low” </w:t>
      </w:r>
      <w:r>
        <w:t xml:space="preserve">future-year </w:t>
      </w:r>
      <w:r w:rsidRPr="00412F53">
        <w:t>scenario</w:t>
      </w:r>
      <w:r>
        <w:t>s have the capability</w:t>
      </w:r>
      <w:r w:rsidRPr="00412F53">
        <w:t xml:space="preserve"> to capture the potential variability in the development, growth, controls, </w:t>
      </w:r>
      <w:r>
        <w:t>and other factors</w:t>
      </w:r>
      <w:r w:rsidRPr="00412F53">
        <w:t>.</w:t>
      </w:r>
      <w:r>
        <w:t xml:space="preserve"> </w:t>
      </w:r>
      <w:r w:rsidR="006117D3">
        <w:t xml:space="preserve">This </w:t>
      </w:r>
      <w:r w:rsidR="00CF4D33">
        <w:t>approach</w:t>
      </w:r>
      <w:r w:rsidRPr="00772527">
        <w:t xml:space="preserve"> align</w:t>
      </w:r>
      <w:r w:rsidR="00CF4D33">
        <w:t>s</w:t>
      </w:r>
      <w:r w:rsidRPr="00772527">
        <w:t xml:space="preserve"> with the “Overview and Example Design of a Reusable Modeling Framework for Air Quality Modeling” appended to the Memorandum of Understanding among the U.S. Department of Agriculture, U.S. Department of the Interior, and U.S. Environmental Protection Agency, regarding Air Quality Analyses and Mitigation for Federal Oil and Gas Decisions through the National Environmental Policy Act Process.</w:t>
      </w:r>
      <w:r>
        <w:t xml:space="preserve"> Briefly, the concept of a </w:t>
      </w:r>
      <w:r w:rsidRPr="00772527">
        <w:t>Reusable Modeling Framework</w:t>
      </w:r>
      <w:r>
        <w:t xml:space="preserve"> (</w:t>
      </w:r>
      <w:r w:rsidRPr="00B043E3">
        <w:t>RMF</w:t>
      </w:r>
      <w:r>
        <w:t>)</w:t>
      </w:r>
      <w:r w:rsidRPr="00B043E3">
        <w:t xml:space="preserve"> is designed to work in conjunction with a regional scale photochemical</w:t>
      </w:r>
      <w:r>
        <w:t xml:space="preserve"> </w:t>
      </w:r>
      <w:r w:rsidRPr="00B043E3">
        <w:t>model to evaluate potential impacts for criteria pollutant</w:t>
      </w:r>
      <w:r>
        <w:t>s</w:t>
      </w:r>
      <w:r w:rsidRPr="00B043E3">
        <w:t xml:space="preserve"> </w:t>
      </w:r>
      <w:r>
        <w:t>(NAAQS – fo</w:t>
      </w:r>
      <w:r w:rsidRPr="00B043E3">
        <w:t xml:space="preserve">cused primarily upon a cumulative regional assessment of ozone and secondary particulate) and AQRVs. This RMF is most appropriate when specific numbers, size, and location of development are not well known for a proposed project, typically at the resource management plan (RMP), forest plan (FP), or leasing stage. This RMF uses emissions sensitivities analyses to bracket potential impacts from future growth scenarios. If the emission projections for a stage of a new or modified project falls within the range of emissions growth used in prior sensitivity analyses, then existing modeling potentially satisfies analysis needs without having to perform additional air </w:t>
      </w:r>
      <w:r>
        <w:t xml:space="preserve">quality modeling. </w:t>
      </w:r>
    </w:p>
    <w:p w14:paraId="5C32C331" w14:textId="77777777" w:rsidR="0069391C" w:rsidRDefault="0069391C" w:rsidP="0069391C">
      <w:pPr>
        <w:ind w:left="360"/>
      </w:pPr>
    </w:p>
    <w:p w14:paraId="2277233E" w14:textId="77777777" w:rsidR="0069391C" w:rsidRDefault="0069391C" w:rsidP="00D23BD1">
      <w:pPr>
        <w:ind w:left="720"/>
      </w:pPr>
      <w:r w:rsidRPr="00B043E3">
        <w:t xml:space="preserve">This RMF </w:t>
      </w:r>
      <w:r>
        <w:t xml:space="preserve">also </w:t>
      </w:r>
      <w:r w:rsidRPr="00B043E3">
        <w:t>suggests that regional air quality assessments for both base year and future years be conducted at predetermined intervals. These intervals usually occur, at a minimum, every three years</w:t>
      </w:r>
      <w:r>
        <w:t>,</w:t>
      </w:r>
      <w:r w:rsidRPr="00B043E3">
        <w:t xml:space="preserve"> corresponding to the </w:t>
      </w:r>
      <w:r>
        <w:t xml:space="preserve">NEI </w:t>
      </w:r>
      <w:r w:rsidRPr="00B043E3">
        <w:t xml:space="preserve">cycle. Grid resolution should </w:t>
      </w:r>
      <w:r>
        <w:t xml:space="preserve">also </w:t>
      </w:r>
      <w:r w:rsidRPr="00B043E3">
        <w:t>adequately represent the geophysical characteristics of the domain and anticipated development. For future year emissions, projections should be made from the base year to 10-15 years forward</w:t>
      </w:r>
      <w:r>
        <w:t xml:space="preserve"> </w:t>
      </w:r>
      <w:r w:rsidRPr="00B043E3">
        <w:t>to examine the potential for maximum growth in the planning area. Future year growth estimates should examine the potential for low, medium, and high development based on the anticipated regional growth. The most straight forward method to address emission sensitivities uses photochemical modeling runs to examine incremental growth in the O&amp;G sector. This approach is often referred to as the “brute force method” which examines the impact of emission growth through successive model runs showing impacts from alternative growth scenarios (e.g., High, Medium, and Low). Other probing techniques, which are more sophisticated</w:t>
      </w:r>
      <w:r>
        <w:t xml:space="preserve"> and costly</w:t>
      </w:r>
      <w:r w:rsidRPr="00B043E3">
        <w:t>, allow for the development of area specific source-receptor relationships. Examples include the Response Surface Methods (RSM), as developed from iterative model runs, and the Direct Decoupled Method (DDM), as developed within a particular photochemical model.</w:t>
      </w:r>
    </w:p>
    <w:p w14:paraId="4F8FBF57" w14:textId="77777777" w:rsidR="0069391C" w:rsidRPr="00094924" w:rsidRDefault="0069391C" w:rsidP="005E57B8">
      <w:pPr>
        <w:pStyle w:val="NoSpacing"/>
        <w:rPr>
          <w:rFonts w:ascii="Times New Roman" w:hAnsi="Times New Roman" w:cs="Times New Roman"/>
          <w:b/>
          <w:sz w:val="24"/>
          <w:szCs w:val="24"/>
        </w:rPr>
      </w:pPr>
    </w:p>
    <w:p w14:paraId="58AC40D3" w14:textId="77777777" w:rsidR="00CF4D33" w:rsidRPr="00094924" w:rsidRDefault="00CF4D33" w:rsidP="00D23BD1">
      <w:pPr>
        <w:pStyle w:val="NoSpacing"/>
        <w:numPr>
          <w:ilvl w:val="0"/>
          <w:numId w:val="39"/>
        </w:numPr>
        <w:rPr>
          <w:rFonts w:ascii="Times New Roman" w:hAnsi="Times New Roman" w:cs="Times New Roman"/>
          <w:b/>
          <w:sz w:val="24"/>
          <w:szCs w:val="24"/>
        </w:rPr>
      </w:pPr>
      <w:r w:rsidRPr="00094924">
        <w:rPr>
          <w:rFonts w:ascii="Times New Roman" w:hAnsi="Times New Roman" w:cs="Times New Roman"/>
          <w:b/>
          <w:sz w:val="24"/>
          <w:szCs w:val="24"/>
        </w:rPr>
        <w:t xml:space="preserve">EXAMPLE OF </w:t>
      </w:r>
      <w:r w:rsidR="009638B3" w:rsidRPr="00094924">
        <w:rPr>
          <w:rFonts w:ascii="Times New Roman" w:hAnsi="Times New Roman" w:cs="Times New Roman"/>
          <w:b/>
          <w:sz w:val="24"/>
          <w:szCs w:val="24"/>
        </w:rPr>
        <w:t xml:space="preserve">FUTURE-YEAR SCENARIOS AND </w:t>
      </w:r>
      <w:r w:rsidRPr="00094924">
        <w:rPr>
          <w:rFonts w:ascii="Times New Roman" w:hAnsi="Times New Roman" w:cs="Times New Roman"/>
          <w:b/>
          <w:sz w:val="24"/>
          <w:szCs w:val="24"/>
        </w:rPr>
        <w:t>RMF EFFORTS USED BY BLM</w:t>
      </w:r>
    </w:p>
    <w:p w14:paraId="633FBEC9" w14:textId="77777777" w:rsidR="00CF4D33" w:rsidRDefault="00CF4D33" w:rsidP="00CF4D33">
      <w:pPr>
        <w:pStyle w:val="NoSpacing"/>
        <w:ind w:left="720"/>
        <w:rPr>
          <w:rFonts w:ascii="Times New Roman" w:hAnsi="Times New Roman" w:cs="Times New Roman"/>
          <w:sz w:val="24"/>
          <w:szCs w:val="24"/>
        </w:rPr>
      </w:pPr>
    </w:p>
    <w:p w14:paraId="1F870096" w14:textId="62F10AD8" w:rsidR="00D23BD1" w:rsidRDefault="00E042C5" w:rsidP="00D23BD1">
      <w:pPr>
        <w:pStyle w:val="NoSpacing"/>
        <w:ind w:left="720"/>
        <w:rPr>
          <w:rFonts w:ascii="Times New Roman" w:hAnsi="Times New Roman" w:cs="Times New Roman"/>
          <w:sz w:val="24"/>
          <w:szCs w:val="24"/>
        </w:rPr>
      </w:pPr>
      <w:r>
        <w:rPr>
          <w:rFonts w:ascii="Times New Roman" w:hAnsi="Times New Roman" w:cs="Times New Roman"/>
          <w:sz w:val="24"/>
          <w:szCs w:val="24"/>
        </w:rPr>
        <w:t>The BLM has proposed</w:t>
      </w:r>
      <w:r w:rsidR="00084648" w:rsidRPr="005E57B8">
        <w:rPr>
          <w:rFonts w:ascii="Times New Roman" w:hAnsi="Times New Roman" w:cs="Times New Roman"/>
          <w:sz w:val="24"/>
          <w:szCs w:val="24"/>
        </w:rPr>
        <w:t xml:space="preserve"> implementing a CARMMS</w:t>
      </w:r>
      <w:r w:rsidR="004B1408">
        <w:rPr>
          <w:rStyle w:val="FootnoteReference"/>
          <w:rFonts w:ascii="Times New Roman" w:hAnsi="Times New Roman" w:cs="Times New Roman"/>
          <w:sz w:val="24"/>
          <w:szCs w:val="24"/>
        </w:rPr>
        <w:footnoteReference w:id="14"/>
      </w:r>
      <w:r w:rsidR="00084648" w:rsidRPr="005E57B8">
        <w:rPr>
          <w:rFonts w:ascii="Times New Roman" w:hAnsi="Times New Roman" w:cs="Times New Roman"/>
          <w:sz w:val="24"/>
          <w:szCs w:val="24"/>
        </w:rPr>
        <w:t xml:space="preserve">-like modeling and analysis component to the </w:t>
      </w:r>
      <w:r w:rsidR="0069391C">
        <w:rPr>
          <w:rFonts w:ascii="Times New Roman" w:hAnsi="Times New Roman" w:cs="Times New Roman"/>
          <w:sz w:val="24"/>
          <w:szCs w:val="24"/>
        </w:rPr>
        <w:t>next</w:t>
      </w:r>
      <w:r w:rsidR="00084648" w:rsidRPr="005E57B8">
        <w:rPr>
          <w:rFonts w:ascii="Times New Roman" w:hAnsi="Times New Roman" w:cs="Times New Roman"/>
          <w:sz w:val="24"/>
          <w:szCs w:val="24"/>
        </w:rPr>
        <w:t xml:space="preserve"> work p</w:t>
      </w:r>
      <w:r w:rsidR="0069391C">
        <w:rPr>
          <w:rFonts w:ascii="Times New Roman" w:hAnsi="Times New Roman" w:cs="Times New Roman"/>
          <w:sz w:val="24"/>
          <w:szCs w:val="24"/>
        </w:rPr>
        <w:t>lan</w:t>
      </w:r>
      <w:r w:rsidR="009638B3">
        <w:rPr>
          <w:rFonts w:ascii="Times New Roman" w:hAnsi="Times New Roman" w:cs="Times New Roman"/>
          <w:sz w:val="24"/>
          <w:szCs w:val="24"/>
        </w:rPr>
        <w:t xml:space="preserve">. </w:t>
      </w:r>
      <w:r w:rsidR="00084648" w:rsidRPr="005E57B8">
        <w:rPr>
          <w:rFonts w:ascii="Times New Roman" w:hAnsi="Times New Roman" w:cs="Times New Roman"/>
          <w:sz w:val="24"/>
          <w:szCs w:val="24"/>
        </w:rPr>
        <w:t>In general, CARMMS is based on the concepts of a</w:t>
      </w:r>
      <w:r w:rsidR="009638B3">
        <w:rPr>
          <w:rFonts w:ascii="Times New Roman" w:hAnsi="Times New Roman" w:cs="Times New Roman"/>
          <w:sz w:val="24"/>
          <w:szCs w:val="24"/>
        </w:rPr>
        <w:t>n RMF</w:t>
      </w:r>
      <w:r w:rsidR="00084648" w:rsidRPr="005E57B8">
        <w:rPr>
          <w:rFonts w:ascii="Times New Roman" w:hAnsi="Times New Roman" w:cs="Times New Roman"/>
          <w:sz w:val="24"/>
          <w:szCs w:val="24"/>
        </w:rPr>
        <w:t>, as outlined in the MOU among the USDA, DOI, and EPA for Federal Oil and Gas Decisions.</w:t>
      </w:r>
      <w:r w:rsidR="00196A70">
        <w:rPr>
          <w:rFonts w:ascii="Times New Roman" w:hAnsi="Times New Roman" w:cs="Times New Roman"/>
          <w:sz w:val="24"/>
          <w:szCs w:val="24"/>
        </w:rPr>
        <w:t xml:space="preserve"> </w:t>
      </w:r>
      <w:r w:rsidR="00084648" w:rsidRPr="005E57B8">
        <w:rPr>
          <w:rFonts w:ascii="Times New Roman" w:hAnsi="Times New Roman" w:cs="Times New Roman"/>
          <w:sz w:val="24"/>
          <w:szCs w:val="24"/>
        </w:rPr>
        <w:t xml:space="preserve">CARMMS also leverages the work products created by the IWDW, including the WRF meteorology, the CAMx model, and the base and future year emissions inventories associated with each platform.  </w:t>
      </w:r>
    </w:p>
    <w:p w14:paraId="192E2C9F" w14:textId="77777777" w:rsidR="00D23BD1" w:rsidRDefault="00D23BD1" w:rsidP="00D23BD1">
      <w:pPr>
        <w:pStyle w:val="NoSpacing"/>
        <w:ind w:left="720"/>
        <w:rPr>
          <w:rFonts w:ascii="Times New Roman" w:hAnsi="Times New Roman" w:cs="Times New Roman"/>
          <w:sz w:val="24"/>
          <w:szCs w:val="24"/>
        </w:rPr>
      </w:pPr>
    </w:p>
    <w:p w14:paraId="1B729719" w14:textId="53BF87B0" w:rsidR="00084648" w:rsidRDefault="00084648" w:rsidP="00D23BD1">
      <w:pPr>
        <w:pStyle w:val="NoSpacing"/>
        <w:ind w:left="720"/>
        <w:rPr>
          <w:rFonts w:ascii="Times New Roman" w:hAnsi="Times New Roman" w:cs="Times New Roman"/>
          <w:sz w:val="24"/>
          <w:szCs w:val="24"/>
        </w:rPr>
      </w:pPr>
      <w:r w:rsidRPr="005E57B8">
        <w:rPr>
          <w:rFonts w:ascii="Times New Roman" w:hAnsi="Times New Roman" w:cs="Times New Roman"/>
          <w:sz w:val="24"/>
          <w:szCs w:val="24"/>
        </w:rPr>
        <w:t xml:space="preserve">Each CARMMS iteration provides for a range (low, medium, and high) of potential oil and gas </w:t>
      </w:r>
      <w:r w:rsidR="00196A70">
        <w:rPr>
          <w:rFonts w:ascii="Times New Roman" w:hAnsi="Times New Roman" w:cs="Times New Roman"/>
          <w:sz w:val="24"/>
          <w:szCs w:val="24"/>
        </w:rPr>
        <w:t xml:space="preserve">development scenario analyses. </w:t>
      </w:r>
      <w:r w:rsidRPr="005E57B8">
        <w:rPr>
          <w:rFonts w:ascii="Times New Roman" w:hAnsi="Times New Roman" w:cs="Times New Roman"/>
          <w:sz w:val="24"/>
          <w:szCs w:val="24"/>
        </w:rPr>
        <w:t>The low scenario is simply based on the last 5 years of average oil and gas development within a defined geographic boundary (basis, county, field office, state), while the high scenario is structured to approximate BLM’s projections for u</w:t>
      </w:r>
      <w:r w:rsidR="00196A70">
        <w:rPr>
          <w:rFonts w:ascii="Times New Roman" w:hAnsi="Times New Roman" w:cs="Times New Roman"/>
          <w:sz w:val="24"/>
          <w:szCs w:val="24"/>
        </w:rPr>
        <w:t xml:space="preserve">nrestricted development (RFD). </w:t>
      </w:r>
      <w:r w:rsidRPr="005E57B8">
        <w:rPr>
          <w:rFonts w:ascii="Times New Roman" w:hAnsi="Times New Roman" w:cs="Times New Roman"/>
          <w:sz w:val="24"/>
          <w:szCs w:val="24"/>
        </w:rPr>
        <w:t>Both scenarios are developed with emissions controls based on cu</w:t>
      </w:r>
      <w:r w:rsidR="00196A70">
        <w:rPr>
          <w:rFonts w:ascii="Times New Roman" w:hAnsi="Times New Roman" w:cs="Times New Roman"/>
          <w:sz w:val="24"/>
          <w:szCs w:val="24"/>
        </w:rPr>
        <w:t xml:space="preserve">rrent regulatory requirements. </w:t>
      </w:r>
      <w:r w:rsidRPr="005E57B8">
        <w:rPr>
          <w:rFonts w:ascii="Times New Roman" w:hAnsi="Times New Roman" w:cs="Times New Roman"/>
          <w:sz w:val="24"/>
          <w:szCs w:val="24"/>
        </w:rPr>
        <w:t xml:space="preserve">The medium scenario has the same oil and gas development intensity as the high scenario, but </w:t>
      </w:r>
      <w:r w:rsidR="003F378C" w:rsidRPr="005E57B8">
        <w:rPr>
          <w:rFonts w:ascii="Times New Roman" w:hAnsi="Times New Roman" w:cs="Times New Roman"/>
          <w:sz w:val="24"/>
          <w:szCs w:val="24"/>
        </w:rPr>
        <w:t>with additional controls. The</w:t>
      </w:r>
      <w:r w:rsidRPr="005E57B8">
        <w:rPr>
          <w:rFonts w:ascii="Times New Roman" w:hAnsi="Times New Roman" w:cs="Times New Roman"/>
          <w:sz w:val="24"/>
          <w:szCs w:val="24"/>
        </w:rPr>
        <w:t xml:space="preserve"> medium scenario provides the BLM with the ability to provide for a residual </w:t>
      </w:r>
      <w:r w:rsidR="0090626A" w:rsidRPr="005E57B8">
        <w:rPr>
          <w:rFonts w:ascii="Times New Roman" w:hAnsi="Times New Roman" w:cs="Times New Roman"/>
          <w:sz w:val="24"/>
          <w:szCs w:val="24"/>
        </w:rPr>
        <w:t>impacts’</w:t>
      </w:r>
      <w:r w:rsidRPr="005E57B8">
        <w:rPr>
          <w:rFonts w:ascii="Times New Roman" w:hAnsi="Times New Roman" w:cs="Times New Roman"/>
          <w:sz w:val="24"/>
          <w:szCs w:val="24"/>
        </w:rPr>
        <w:t xml:space="preserve"> disclosure (required for NEPA) based on the utilization of such contro</w:t>
      </w:r>
      <w:r w:rsidR="00196A70">
        <w:rPr>
          <w:rFonts w:ascii="Times New Roman" w:hAnsi="Times New Roman" w:cs="Times New Roman"/>
          <w:sz w:val="24"/>
          <w:szCs w:val="24"/>
        </w:rPr>
        <w:t xml:space="preserve">ls (or similar) as mitigation. </w:t>
      </w:r>
      <w:r w:rsidRPr="005E57B8">
        <w:rPr>
          <w:rFonts w:ascii="Times New Roman" w:hAnsi="Times New Roman" w:cs="Times New Roman"/>
          <w:sz w:val="24"/>
          <w:szCs w:val="24"/>
        </w:rPr>
        <w:t xml:space="preserve">CARMMS utilizes a PGM’s ability to track (source apportion) emissions from a geographic area of interest </w:t>
      </w:r>
      <w:r w:rsidR="006F3D72" w:rsidRPr="005E57B8">
        <w:rPr>
          <w:rFonts w:ascii="Times New Roman" w:hAnsi="Times New Roman" w:cs="Times New Roman"/>
          <w:sz w:val="24"/>
          <w:szCs w:val="24"/>
        </w:rPr>
        <w:t>to</w:t>
      </w:r>
      <w:r w:rsidRPr="005E57B8">
        <w:rPr>
          <w:rFonts w:ascii="Times New Roman" w:hAnsi="Times New Roman" w:cs="Times New Roman"/>
          <w:sz w:val="24"/>
          <w:szCs w:val="24"/>
        </w:rPr>
        <w:t xml:space="preserve"> determine impacts of the emissions associated with the tagged source(s). </w:t>
      </w:r>
      <w:r w:rsidR="003F378C" w:rsidRPr="005E57B8">
        <w:rPr>
          <w:rFonts w:ascii="Times New Roman" w:hAnsi="Times New Roman" w:cs="Times New Roman"/>
          <w:sz w:val="24"/>
          <w:szCs w:val="24"/>
        </w:rPr>
        <w:t>In general, BLM Colorado tags new federal oil and gas projections within each field office (or</w:t>
      </w:r>
      <w:r w:rsidRPr="005E57B8">
        <w:rPr>
          <w:rFonts w:ascii="Times New Roman" w:hAnsi="Times New Roman" w:cs="Times New Roman"/>
          <w:sz w:val="24"/>
          <w:szCs w:val="24"/>
        </w:rPr>
        <w:t xml:space="preserve"> sub regional areas of interest, ex: Pawnee National Grass Lands, SUIT Res</w:t>
      </w:r>
      <w:r w:rsidR="00196A70">
        <w:rPr>
          <w:rFonts w:ascii="Times New Roman" w:hAnsi="Times New Roman" w:cs="Times New Roman"/>
          <w:sz w:val="24"/>
          <w:szCs w:val="24"/>
        </w:rPr>
        <w:t xml:space="preserve">ervation, Roan Plateau, etc.). </w:t>
      </w:r>
      <w:r w:rsidRPr="005E57B8">
        <w:rPr>
          <w:rFonts w:ascii="Times New Roman" w:hAnsi="Times New Roman" w:cs="Times New Roman"/>
          <w:sz w:val="24"/>
          <w:szCs w:val="24"/>
        </w:rPr>
        <w:t>In providing three development scenarios, the tagged source impacts provide BLM Colorado with the ability to interpolate between the results, which are generally</w:t>
      </w:r>
      <w:r w:rsidR="00196A70">
        <w:rPr>
          <w:rFonts w:ascii="Times New Roman" w:hAnsi="Times New Roman" w:cs="Times New Roman"/>
          <w:sz w:val="24"/>
          <w:szCs w:val="24"/>
        </w:rPr>
        <w:t xml:space="preserve"> linear between the scenarios. </w:t>
      </w:r>
      <w:r w:rsidRPr="005E57B8">
        <w:rPr>
          <w:rFonts w:ascii="Times New Roman" w:hAnsi="Times New Roman" w:cs="Times New Roman"/>
          <w:sz w:val="24"/>
          <w:szCs w:val="24"/>
        </w:rPr>
        <w:t xml:space="preserve">This ability to scale impacts relative to emissions for each area of interest allows BLM Colorado to use the model results to support any number of projects and planning efforts.  </w:t>
      </w:r>
    </w:p>
    <w:p w14:paraId="161B4A90" w14:textId="77777777" w:rsidR="00286708" w:rsidRPr="00D23BD1" w:rsidRDefault="00286708" w:rsidP="005E57B8">
      <w:pPr>
        <w:pStyle w:val="NoSpacing"/>
        <w:rPr>
          <w:rFonts w:ascii="Times New Roman" w:hAnsi="Times New Roman" w:cs="Times New Roman"/>
          <w:b/>
          <w:sz w:val="24"/>
          <w:szCs w:val="24"/>
        </w:rPr>
      </w:pPr>
    </w:p>
    <w:p w14:paraId="30083DCC" w14:textId="77777777" w:rsidR="006117D3" w:rsidRPr="00D23BD1" w:rsidRDefault="00196A70" w:rsidP="00D23BD1">
      <w:pPr>
        <w:pStyle w:val="NoSpacing"/>
        <w:numPr>
          <w:ilvl w:val="0"/>
          <w:numId w:val="39"/>
        </w:numPr>
        <w:rPr>
          <w:rFonts w:ascii="Times New Roman" w:hAnsi="Times New Roman" w:cs="Times New Roman"/>
          <w:b/>
          <w:sz w:val="24"/>
          <w:szCs w:val="24"/>
        </w:rPr>
      </w:pPr>
      <w:r w:rsidRPr="00D23BD1">
        <w:rPr>
          <w:rFonts w:ascii="Times New Roman" w:hAnsi="Times New Roman" w:cs="Times New Roman"/>
          <w:b/>
          <w:sz w:val="24"/>
          <w:szCs w:val="24"/>
        </w:rPr>
        <w:t xml:space="preserve">OBSERVED </w:t>
      </w:r>
      <w:r w:rsidR="00084648" w:rsidRPr="00D23BD1">
        <w:rPr>
          <w:rFonts w:ascii="Times New Roman" w:hAnsi="Times New Roman" w:cs="Times New Roman"/>
          <w:b/>
          <w:sz w:val="24"/>
          <w:szCs w:val="24"/>
        </w:rPr>
        <w:t>B</w:t>
      </w:r>
      <w:r w:rsidR="006117D3" w:rsidRPr="00D23BD1">
        <w:rPr>
          <w:rFonts w:ascii="Times New Roman" w:hAnsi="Times New Roman" w:cs="Times New Roman"/>
          <w:b/>
          <w:sz w:val="24"/>
          <w:szCs w:val="24"/>
        </w:rPr>
        <w:t>ENEFITS</w:t>
      </w:r>
      <w:r w:rsidR="008B0275" w:rsidRPr="00D23BD1">
        <w:rPr>
          <w:rFonts w:ascii="Times New Roman" w:hAnsi="Times New Roman" w:cs="Times New Roman"/>
          <w:b/>
          <w:sz w:val="24"/>
          <w:szCs w:val="24"/>
        </w:rPr>
        <w:t xml:space="preserve"> BY THE BLM</w:t>
      </w:r>
      <w:r w:rsidR="00084648" w:rsidRPr="00D23BD1">
        <w:rPr>
          <w:rFonts w:ascii="Times New Roman" w:hAnsi="Times New Roman" w:cs="Times New Roman"/>
          <w:b/>
          <w:sz w:val="24"/>
          <w:szCs w:val="24"/>
        </w:rPr>
        <w:t xml:space="preserve">  </w:t>
      </w:r>
    </w:p>
    <w:p w14:paraId="47377986" w14:textId="77777777" w:rsidR="006117D3" w:rsidRDefault="006117D3" w:rsidP="005E57B8">
      <w:pPr>
        <w:pStyle w:val="NoSpacing"/>
        <w:rPr>
          <w:rFonts w:ascii="Times New Roman" w:hAnsi="Times New Roman" w:cs="Times New Roman"/>
          <w:sz w:val="24"/>
          <w:szCs w:val="24"/>
        </w:rPr>
      </w:pPr>
    </w:p>
    <w:p w14:paraId="363DEF49" w14:textId="77777777" w:rsidR="00084648" w:rsidRPr="005E57B8" w:rsidRDefault="00084648" w:rsidP="00D23BD1">
      <w:pPr>
        <w:pStyle w:val="NoSpacing"/>
        <w:ind w:left="720"/>
        <w:rPr>
          <w:rFonts w:ascii="Times New Roman" w:hAnsi="Times New Roman" w:cs="Times New Roman"/>
          <w:sz w:val="24"/>
          <w:szCs w:val="24"/>
        </w:rPr>
      </w:pPr>
      <w:r w:rsidRPr="005E57B8">
        <w:rPr>
          <w:rFonts w:ascii="Times New Roman" w:hAnsi="Times New Roman" w:cs="Times New Roman"/>
          <w:sz w:val="24"/>
          <w:szCs w:val="24"/>
        </w:rPr>
        <w:lastRenderedPageBreak/>
        <w:t>To date, BLM Colorado has managed to fund two iterations of the CARMMS analysis leveraging both the 2008 and 2011b plat</w:t>
      </w:r>
      <w:r w:rsidR="008B0275">
        <w:rPr>
          <w:rFonts w:ascii="Times New Roman" w:hAnsi="Times New Roman" w:cs="Times New Roman"/>
          <w:sz w:val="24"/>
          <w:szCs w:val="24"/>
        </w:rPr>
        <w:t xml:space="preserve">forms developed by the IWDW. </w:t>
      </w:r>
      <w:r w:rsidRPr="005E57B8">
        <w:rPr>
          <w:rFonts w:ascii="Times New Roman" w:hAnsi="Times New Roman" w:cs="Times New Roman"/>
          <w:sz w:val="24"/>
          <w:szCs w:val="24"/>
        </w:rPr>
        <w:t xml:space="preserve">The CARMMS products have been used to support numerous initiatives, including the following: </w:t>
      </w:r>
    </w:p>
    <w:p w14:paraId="011182B0" w14:textId="77777777" w:rsidR="00084648" w:rsidRPr="005E57B8" w:rsidRDefault="00084648" w:rsidP="00D23BD1">
      <w:pPr>
        <w:pStyle w:val="NoSpacing"/>
        <w:numPr>
          <w:ilvl w:val="0"/>
          <w:numId w:val="36"/>
        </w:numPr>
        <w:ind w:left="1440"/>
        <w:rPr>
          <w:rFonts w:ascii="Times New Roman" w:hAnsi="Times New Roman" w:cs="Times New Roman"/>
          <w:sz w:val="24"/>
          <w:szCs w:val="24"/>
        </w:rPr>
      </w:pPr>
      <w:r w:rsidRPr="005E57B8">
        <w:rPr>
          <w:rFonts w:ascii="Times New Roman" w:hAnsi="Times New Roman" w:cs="Times New Roman"/>
          <w:sz w:val="24"/>
          <w:szCs w:val="24"/>
        </w:rPr>
        <w:t>GJFO RMP Amendment</w:t>
      </w:r>
    </w:p>
    <w:p w14:paraId="17CF5223" w14:textId="77777777" w:rsidR="00084648" w:rsidRPr="005E57B8" w:rsidRDefault="00084648" w:rsidP="00D23BD1">
      <w:pPr>
        <w:pStyle w:val="NoSpacing"/>
        <w:numPr>
          <w:ilvl w:val="0"/>
          <w:numId w:val="36"/>
        </w:numPr>
        <w:ind w:left="1440"/>
        <w:rPr>
          <w:rFonts w:ascii="Times New Roman" w:hAnsi="Times New Roman" w:cs="Times New Roman"/>
          <w:sz w:val="24"/>
          <w:szCs w:val="24"/>
        </w:rPr>
      </w:pPr>
      <w:r w:rsidRPr="005E57B8">
        <w:rPr>
          <w:rFonts w:ascii="Times New Roman" w:hAnsi="Times New Roman" w:cs="Times New Roman"/>
          <w:sz w:val="24"/>
          <w:szCs w:val="24"/>
        </w:rPr>
        <w:t>UFO RMP Amendment</w:t>
      </w:r>
    </w:p>
    <w:p w14:paraId="078EC509" w14:textId="77777777" w:rsidR="00084648" w:rsidRPr="005E57B8" w:rsidRDefault="00084648" w:rsidP="00D23BD1">
      <w:pPr>
        <w:pStyle w:val="NoSpacing"/>
        <w:numPr>
          <w:ilvl w:val="0"/>
          <w:numId w:val="36"/>
        </w:numPr>
        <w:ind w:left="1440"/>
        <w:rPr>
          <w:rFonts w:ascii="Times New Roman" w:hAnsi="Times New Roman" w:cs="Times New Roman"/>
          <w:sz w:val="24"/>
          <w:szCs w:val="24"/>
        </w:rPr>
      </w:pPr>
      <w:r w:rsidRPr="005E57B8">
        <w:rPr>
          <w:rFonts w:ascii="Times New Roman" w:hAnsi="Times New Roman" w:cs="Times New Roman"/>
          <w:sz w:val="24"/>
          <w:szCs w:val="24"/>
        </w:rPr>
        <w:t>RGFO RMP Amendment</w:t>
      </w:r>
    </w:p>
    <w:p w14:paraId="0B29B1B8" w14:textId="77777777" w:rsidR="00084648" w:rsidRPr="005E57B8" w:rsidRDefault="00084648" w:rsidP="00D23BD1">
      <w:pPr>
        <w:pStyle w:val="NoSpacing"/>
        <w:numPr>
          <w:ilvl w:val="0"/>
          <w:numId w:val="36"/>
        </w:numPr>
        <w:ind w:left="1440"/>
        <w:rPr>
          <w:rFonts w:ascii="Times New Roman" w:hAnsi="Times New Roman" w:cs="Times New Roman"/>
          <w:sz w:val="24"/>
          <w:szCs w:val="24"/>
        </w:rPr>
      </w:pPr>
      <w:r w:rsidRPr="005E57B8">
        <w:rPr>
          <w:rFonts w:ascii="Times New Roman" w:hAnsi="Times New Roman" w:cs="Times New Roman"/>
          <w:sz w:val="24"/>
          <w:szCs w:val="24"/>
        </w:rPr>
        <w:t>WRFO MPA EIS</w:t>
      </w:r>
    </w:p>
    <w:p w14:paraId="59938798" w14:textId="77777777" w:rsidR="00084648" w:rsidRPr="005E57B8" w:rsidRDefault="00084648" w:rsidP="00D23BD1">
      <w:pPr>
        <w:pStyle w:val="NoSpacing"/>
        <w:numPr>
          <w:ilvl w:val="0"/>
          <w:numId w:val="36"/>
        </w:numPr>
        <w:ind w:left="1440"/>
        <w:rPr>
          <w:rFonts w:ascii="Times New Roman" w:hAnsi="Times New Roman" w:cs="Times New Roman"/>
          <w:sz w:val="24"/>
          <w:szCs w:val="24"/>
        </w:rPr>
      </w:pPr>
      <w:r w:rsidRPr="005E57B8">
        <w:rPr>
          <w:rFonts w:ascii="Times New Roman" w:hAnsi="Times New Roman" w:cs="Times New Roman"/>
          <w:sz w:val="24"/>
          <w:szCs w:val="24"/>
        </w:rPr>
        <w:t>Roan Plateau SEIS</w:t>
      </w:r>
    </w:p>
    <w:p w14:paraId="0BC5A6B4" w14:textId="77777777" w:rsidR="00084648" w:rsidRPr="005E57B8" w:rsidRDefault="00084648" w:rsidP="00D23BD1">
      <w:pPr>
        <w:pStyle w:val="NoSpacing"/>
        <w:numPr>
          <w:ilvl w:val="0"/>
          <w:numId w:val="36"/>
        </w:numPr>
        <w:ind w:left="1440"/>
        <w:rPr>
          <w:rFonts w:ascii="Times New Roman" w:hAnsi="Times New Roman" w:cs="Times New Roman"/>
          <w:sz w:val="24"/>
          <w:szCs w:val="24"/>
        </w:rPr>
      </w:pPr>
      <w:r w:rsidRPr="005E57B8">
        <w:rPr>
          <w:rFonts w:ascii="Times New Roman" w:hAnsi="Times New Roman" w:cs="Times New Roman"/>
          <w:sz w:val="24"/>
          <w:szCs w:val="24"/>
        </w:rPr>
        <w:t>Thompson Divide Lease Reinstatement EA</w:t>
      </w:r>
    </w:p>
    <w:p w14:paraId="38990655" w14:textId="77777777" w:rsidR="00084648" w:rsidRPr="005E57B8" w:rsidRDefault="00084648" w:rsidP="00D23BD1">
      <w:pPr>
        <w:pStyle w:val="NoSpacing"/>
        <w:numPr>
          <w:ilvl w:val="0"/>
          <w:numId w:val="36"/>
        </w:numPr>
        <w:ind w:left="1440"/>
        <w:rPr>
          <w:rFonts w:ascii="Times New Roman" w:hAnsi="Times New Roman" w:cs="Times New Roman"/>
          <w:sz w:val="24"/>
          <w:szCs w:val="24"/>
        </w:rPr>
      </w:pPr>
      <w:r w:rsidRPr="005E57B8">
        <w:rPr>
          <w:rFonts w:ascii="Times New Roman" w:hAnsi="Times New Roman" w:cs="Times New Roman"/>
          <w:sz w:val="24"/>
          <w:szCs w:val="24"/>
        </w:rPr>
        <w:t>FRAM MDP EA</w:t>
      </w:r>
    </w:p>
    <w:p w14:paraId="6194B488" w14:textId="77777777" w:rsidR="00084648" w:rsidRPr="005E57B8" w:rsidRDefault="00084648" w:rsidP="00D23BD1">
      <w:pPr>
        <w:pStyle w:val="NoSpacing"/>
        <w:numPr>
          <w:ilvl w:val="0"/>
          <w:numId w:val="36"/>
        </w:numPr>
        <w:ind w:left="1440"/>
        <w:rPr>
          <w:rFonts w:ascii="Times New Roman" w:hAnsi="Times New Roman" w:cs="Times New Roman"/>
          <w:sz w:val="24"/>
          <w:szCs w:val="24"/>
        </w:rPr>
      </w:pPr>
      <w:r w:rsidRPr="005E57B8">
        <w:rPr>
          <w:rFonts w:ascii="Times New Roman" w:hAnsi="Times New Roman" w:cs="Times New Roman"/>
          <w:sz w:val="24"/>
          <w:szCs w:val="24"/>
        </w:rPr>
        <w:t>Pawnee National Grasslands Oil and Gas Leasing EIS</w:t>
      </w:r>
    </w:p>
    <w:p w14:paraId="20DEB474" w14:textId="77777777" w:rsidR="00084648" w:rsidRPr="005E57B8" w:rsidRDefault="00084648" w:rsidP="00D23BD1">
      <w:pPr>
        <w:pStyle w:val="NoSpacing"/>
        <w:numPr>
          <w:ilvl w:val="0"/>
          <w:numId w:val="36"/>
        </w:numPr>
        <w:ind w:left="1440"/>
        <w:rPr>
          <w:rFonts w:ascii="Times New Roman" w:hAnsi="Times New Roman" w:cs="Times New Roman"/>
          <w:sz w:val="24"/>
          <w:szCs w:val="24"/>
        </w:rPr>
      </w:pPr>
      <w:r w:rsidRPr="005E57B8">
        <w:rPr>
          <w:rFonts w:ascii="Times New Roman" w:hAnsi="Times New Roman" w:cs="Times New Roman"/>
          <w:sz w:val="24"/>
          <w:szCs w:val="24"/>
        </w:rPr>
        <w:t>Bull Mountain MDP EIS</w:t>
      </w:r>
    </w:p>
    <w:p w14:paraId="1ABD80F6" w14:textId="77777777" w:rsidR="00084648" w:rsidRPr="005E57B8" w:rsidRDefault="00084648" w:rsidP="00D23BD1">
      <w:pPr>
        <w:pStyle w:val="NoSpacing"/>
        <w:numPr>
          <w:ilvl w:val="0"/>
          <w:numId w:val="36"/>
        </w:numPr>
        <w:ind w:left="1440"/>
        <w:rPr>
          <w:rFonts w:ascii="Times New Roman" w:hAnsi="Times New Roman" w:cs="Times New Roman"/>
          <w:sz w:val="24"/>
          <w:szCs w:val="24"/>
        </w:rPr>
      </w:pPr>
      <w:r w:rsidRPr="005E57B8">
        <w:rPr>
          <w:rFonts w:ascii="Times New Roman" w:hAnsi="Times New Roman" w:cs="Times New Roman"/>
          <w:sz w:val="24"/>
          <w:szCs w:val="24"/>
        </w:rPr>
        <w:t>FFO RMP Amendment</w:t>
      </w:r>
    </w:p>
    <w:p w14:paraId="73092765" w14:textId="77777777" w:rsidR="00084648" w:rsidRPr="005E57B8" w:rsidRDefault="00084648" w:rsidP="00D23BD1">
      <w:pPr>
        <w:pStyle w:val="NoSpacing"/>
        <w:numPr>
          <w:ilvl w:val="0"/>
          <w:numId w:val="36"/>
        </w:numPr>
        <w:ind w:left="1440"/>
        <w:rPr>
          <w:rFonts w:ascii="Times New Roman" w:hAnsi="Times New Roman" w:cs="Times New Roman"/>
          <w:sz w:val="24"/>
          <w:szCs w:val="24"/>
        </w:rPr>
      </w:pPr>
      <w:r w:rsidRPr="005E57B8">
        <w:rPr>
          <w:rFonts w:ascii="Times New Roman" w:hAnsi="Times New Roman" w:cs="Times New Roman"/>
          <w:sz w:val="24"/>
          <w:szCs w:val="24"/>
        </w:rPr>
        <w:t>SJPLC SEIS ROD Modeling (Gothic Shale requirement)</w:t>
      </w:r>
    </w:p>
    <w:p w14:paraId="41393937" w14:textId="77777777" w:rsidR="00084648" w:rsidRPr="005E57B8" w:rsidRDefault="00084648" w:rsidP="00D23BD1">
      <w:pPr>
        <w:pStyle w:val="NoSpacing"/>
        <w:numPr>
          <w:ilvl w:val="0"/>
          <w:numId w:val="36"/>
        </w:numPr>
        <w:ind w:left="1440"/>
        <w:rPr>
          <w:rFonts w:ascii="Times New Roman" w:hAnsi="Times New Roman" w:cs="Times New Roman"/>
          <w:sz w:val="24"/>
          <w:szCs w:val="24"/>
        </w:rPr>
      </w:pPr>
      <w:r w:rsidRPr="005E57B8">
        <w:rPr>
          <w:rFonts w:ascii="Times New Roman" w:hAnsi="Times New Roman" w:cs="Times New Roman"/>
          <w:sz w:val="24"/>
          <w:szCs w:val="24"/>
        </w:rPr>
        <w:t>King II, West Elk, and 20 Mile Coal Mine Lease Mods</w:t>
      </w:r>
    </w:p>
    <w:p w14:paraId="4B54BFA2" w14:textId="77777777" w:rsidR="00084648" w:rsidRPr="005E57B8" w:rsidRDefault="00084648" w:rsidP="00D23BD1">
      <w:pPr>
        <w:pStyle w:val="NoSpacing"/>
        <w:numPr>
          <w:ilvl w:val="0"/>
          <w:numId w:val="36"/>
        </w:numPr>
        <w:ind w:left="1440"/>
        <w:rPr>
          <w:rFonts w:ascii="Times New Roman" w:hAnsi="Times New Roman" w:cs="Times New Roman"/>
          <w:sz w:val="24"/>
          <w:szCs w:val="24"/>
        </w:rPr>
      </w:pPr>
      <w:r w:rsidRPr="005E57B8">
        <w:rPr>
          <w:rFonts w:ascii="Times New Roman" w:hAnsi="Times New Roman" w:cs="Times New Roman"/>
          <w:sz w:val="24"/>
          <w:szCs w:val="24"/>
        </w:rPr>
        <w:t>Every Oil and Gas Lease Sale and APD processed by BLM Colorado since 2013</w:t>
      </w:r>
    </w:p>
    <w:p w14:paraId="0D487CBA" w14:textId="77777777" w:rsidR="00D23BD1" w:rsidRDefault="00D23BD1" w:rsidP="008B0275">
      <w:pPr>
        <w:pStyle w:val="NoSpacing"/>
        <w:ind w:left="360"/>
        <w:rPr>
          <w:rFonts w:ascii="Times New Roman" w:hAnsi="Times New Roman" w:cs="Times New Roman"/>
          <w:sz w:val="24"/>
          <w:szCs w:val="24"/>
        </w:rPr>
      </w:pPr>
    </w:p>
    <w:p w14:paraId="30E59B00" w14:textId="77777777" w:rsidR="00084648" w:rsidRPr="005E57B8" w:rsidRDefault="00084648" w:rsidP="00D23BD1">
      <w:pPr>
        <w:pStyle w:val="NoSpacing"/>
        <w:ind w:left="720"/>
        <w:rPr>
          <w:rFonts w:ascii="Times New Roman" w:hAnsi="Times New Roman" w:cs="Times New Roman"/>
          <w:sz w:val="24"/>
          <w:szCs w:val="24"/>
        </w:rPr>
      </w:pPr>
      <w:r w:rsidRPr="005E57B8">
        <w:rPr>
          <w:rFonts w:ascii="Times New Roman" w:hAnsi="Times New Roman" w:cs="Times New Roman"/>
          <w:sz w:val="24"/>
          <w:szCs w:val="24"/>
        </w:rPr>
        <w:t>It is an understatement to suggest that this effort has not been a</w:t>
      </w:r>
      <w:r w:rsidR="008B0275">
        <w:rPr>
          <w:rFonts w:ascii="Times New Roman" w:hAnsi="Times New Roman" w:cs="Times New Roman"/>
          <w:sz w:val="24"/>
          <w:szCs w:val="24"/>
        </w:rPr>
        <w:t xml:space="preserve">nything but wildly successful. </w:t>
      </w:r>
      <w:r w:rsidRPr="005E57B8">
        <w:rPr>
          <w:rFonts w:ascii="Times New Roman" w:hAnsi="Times New Roman" w:cs="Times New Roman"/>
          <w:sz w:val="24"/>
          <w:szCs w:val="24"/>
        </w:rPr>
        <w:t>The actual time-savings alone is worth all the funding BLM has contributed to the IWDW project (previously Three State Study), as well as the additional BLM funds required to run the CARMMS projection scenarios (ap</w:t>
      </w:r>
      <w:r w:rsidR="008B0275">
        <w:rPr>
          <w:rFonts w:ascii="Times New Roman" w:hAnsi="Times New Roman" w:cs="Times New Roman"/>
          <w:sz w:val="24"/>
          <w:szCs w:val="24"/>
        </w:rPr>
        <w:t xml:space="preserve">proximately $425K). </w:t>
      </w:r>
      <w:r w:rsidRPr="005E57B8">
        <w:rPr>
          <w:rFonts w:ascii="Times New Roman" w:hAnsi="Times New Roman" w:cs="Times New Roman"/>
          <w:sz w:val="24"/>
          <w:szCs w:val="24"/>
        </w:rPr>
        <w:t xml:space="preserve">While not an insignificant amount of money, the CARMMS projections are likely far more economical than having to prepare and run models for each of the projects listed above individually (potentially over $1 million per model platform per project).  </w:t>
      </w:r>
    </w:p>
    <w:p w14:paraId="73782803" w14:textId="77777777" w:rsidR="00084648" w:rsidRPr="00243F4F" w:rsidRDefault="00084648" w:rsidP="005E57B8">
      <w:pPr>
        <w:pStyle w:val="NoSpacing"/>
        <w:rPr>
          <w:rFonts w:ascii="Times New Roman" w:hAnsi="Times New Roman" w:cs="Times New Roman"/>
          <w:b/>
          <w:sz w:val="24"/>
          <w:szCs w:val="24"/>
        </w:rPr>
      </w:pPr>
    </w:p>
    <w:p w14:paraId="63A3F333" w14:textId="77777777" w:rsidR="00243F4F" w:rsidRPr="00243F4F" w:rsidRDefault="00243F4F" w:rsidP="00243F4F">
      <w:pPr>
        <w:pStyle w:val="NoSpacing"/>
        <w:numPr>
          <w:ilvl w:val="0"/>
          <w:numId w:val="39"/>
        </w:numPr>
        <w:rPr>
          <w:rFonts w:ascii="Times New Roman" w:hAnsi="Times New Roman" w:cs="Times New Roman"/>
          <w:b/>
          <w:sz w:val="24"/>
          <w:szCs w:val="24"/>
        </w:rPr>
      </w:pPr>
      <w:r w:rsidRPr="00243F4F">
        <w:rPr>
          <w:rFonts w:ascii="Times New Roman" w:hAnsi="Times New Roman" w:cs="Times New Roman"/>
          <w:b/>
          <w:sz w:val="24"/>
          <w:szCs w:val="24"/>
        </w:rPr>
        <w:t>WORK PLAN DEVELOPMENT</w:t>
      </w:r>
    </w:p>
    <w:p w14:paraId="23B5CBF6" w14:textId="77777777" w:rsidR="00AE64B5" w:rsidRDefault="00AE64B5" w:rsidP="005E57B8">
      <w:pPr>
        <w:pStyle w:val="NoSpacing"/>
        <w:rPr>
          <w:rFonts w:ascii="Times New Roman" w:hAnsi="Times New Roman" w:cs="Times New Roman"/>
          <w:b/>
          <w:sz w:val="24"/>
          <w:szCs w:val="24"/>
        </w:rPr>
      </w:pPr>
    </w:p>
    <w:p w14:paraId="105E6D71" w14:textId="77777777" w:rsidR="00AE64B5" w:rsidRPr="00F948BB" w:rsidRDefault="00AE64B5" w:rsidP="00AE64B5">
      <w:pPr>
        <w:ind w:left="720"/>
      </w:pPr>
      <w:r>
        <w:t xml:space="preserve">This is a new concept and work product that needs to be discussed among the Cooperators to develop goals, objectives, and deliverables, and ensure that resources are available to complete the </w:t>
      </w:r>
      <w:r w:rsidRPr="00F948BB">
        <w:t xml:space="preserve">work in a timely manner. </w:t>
      </w:r>
      <w:r w:rsidR="00084648" w:rsidRPr="00F948BB">
        <w:t xml:space="preserve">The costs of the extra effort will need to be identified and a strict timeline will need to be enforced to ensure the deliverables are available for future NEPA air quality assessments.  </w:t>
      </w:r>
    </w:p>
    <w:p w14:paraId="1199500F" w14:textId="77777777" w:rsidR="00AE64B5" w:rsidRPr="00F948BB" w:rsidRDefault="00AE64B5" w:rsidP="00AE64B5">
      <w:pPr>
        <w:ind w:left="720"/>
      </w:pPr>
    </w:p>
    <w:p w14:paraId="73B1C783" w14:textId="77777777" w:rsidR="009810D5" w:rsidRPr="009810D5" w:rsidRDefault="00084648" w:rsidP="009810D5">
      <w:pPr>
        <w:ind w:left="720"/>
      </w:pPr>
      <w:r w:rsidRPr="00F948BB">
        <w:t>The BLM acknowledges the need to provide for federal oil and gas projections for all the BLM field offices as i</w:t>
      </w:r>
      <w:r w:rsidR="00AE64B5" w:rsidRPr="00F948BB">
        <w:t xml:space="preserve">nput for each model iteration. </w:t>
      </w:r>
      <w:r w:rsidRPr="00F948BB">
        <w:t>The BLM also needs to determine the source apportionment groups needed by all the field offices, or if a less fine aggregation of emissions and impacts would work fo</w:t>
      </w:r>
      <w:r w:rsidR="00AE64B5" w:rsidRPr="00F948BB">
        <w:t xml:space="preserve">r disclosing impacts for NEPA. </w:t>
      </w:r>
      <w:r w:rsidRPr="00F948BB">
        <w:t>For example, CARMMS has over 2</w:t>
      </w:r>
      <w:r w:rsidR="00AE64B5" w:rsidRPr="00F948BB">
        <w:t>0 source apportionment groups. This level of detail is not</w:t>
      </w:r>
      <w:r w:rsidRPr="00F948BB">
        <w:t xml:space="preserve"> sustainable over the entirety of the fi</w:t>
      </w:r>
      <w:r w:rsidR="00AE64B5" w:rsidRPr="00F948BB">
        <w:t>ne resolution domain. The BLM acknowledges that the appropriate level of detail needs to be determined</w:t>
      </w:r>
      <w:r w:rsidRPr="00F948BB">
        <w:t xml:space="preserve"> to satisfy NEPA and other air program requirements.</w:t>
      </w:r>
      <w:r w:rsidR="00AE64B5" w:rsidRPr="00F948BB">
        <w:t xml:space="preserve"> BLM also acknowledges that partners outside of the IWDW-WAQS will need to be integrated </w:t>
      </w:r>
      <w:r w:rsidR="00D14C5E" w:rsidRPr="00F948BB">
        <w:t xml:space="preserve">and included </w:t>
      </w:r>
      <w:r w:rsidR="00AE64B5" w:rsidRPr="00F948BB">
        <w:t>into this approach to support the assumptions used in the projections, controls, source groups, etc. For instance, the partners that are</w:t>
      </w:r>
      <w:r w:rsidR="00BB7E30" w:rsidRPr="00F948BB">
        <w:t xml:space="preserve"> linked to the </w:t>
      </w:r>
      <w:r w:rsidR="00BB7E30" w:rsidRPr="009810D5">
        <w:t>policy and implementation of NEPA.</w:t>
      </w:r>
      <w:r w:rsidRPr="009810D5">
        <w:t xml:space="preserve"> </w:t>
      </w:r>
      <w:r w:rsidR="00AE64B5" w:rsidRPr="009810D5">
        <w:t>While the IWDW-WAQS can support the completion of the modeling work, the</w:t>
      </w:r>
      <w:r w:rsidR="00BB7E30" w:rsidRPr="009810D5">
        <w:t xml:space="preserve"> NEPA</w:t>
      </w:r>
      <w:r w:rsidR="00AE64B5" w:rsidRPr="009810D5">
        <w:t xml:space="preserve"> policy and implementation of the approach is outside the scope of this work plan.</w:t>
      </w:r>
    </w:p>
    <w:p w14:paraId="36E73058" w14:textId="77777777" w:rsidR="009810D5" w:rsidRPr="009810D5" w:rsidRDefault="009810D5" w:rsidP="009810D5">
      <w:pPr>
        <w:ind w:left="720"/>
      </w:pPr>
    </w:p>
    <w:p w14:paraId="509FB4CB" w14:textId="0FED209A" w:rsidR="00360C7B" w:rsidRPr="009810D5" w:rsidRDefault="009810D5" w:rsidP="009810D5">
      <w:pPr>
        <w:ind w:left="720"/>
      </w:pPr>
      <w:r w:rsidRPr="009810D5">
        <w:lastRenderedPageBreak/>
        <w:t xml:space="preserve">The Cooperators have compiled a list of topics that will be utilized to assist in the development of work tasks to address this need. </w:t>
      </w:r>
    </w:p>
    <w:bookmarkEnd w:id="2"/>
    <w:p w14:paraId="57E56687" w14:textId="77777777" w:rsidR="009810D5" w:rsidRDefault="009810D5" w:rsidP="003E4C89">
      <w:pPr>
        <w:rPr>
          <w:b/>
        </w:rPr>
      </w:pPr>
    </w:p>
    <w:p w14:paraId="48D81064" w14:textId="614280A3" w:rsidR="002737F3" w:rsidRPr="00084648" w:rsidRDefault="002737F3" w:rsidP="002737F3">
      <w:pPr>
        <w:rPr>
          <w:b/>
        </w:rPr>
      </w:pPr>
      <w:r w:rsidRPr="00084648">
        <w:rPr>
          <w:b/>
        </w:rPr>
        <w:t xml:space="preserve">APPENDIX </w:t>
      </w:r>
      <w:r w:rsidR="003140A6">
        <w:rPr>
          <w:b/>
        </w:rPr>
        <w:t>B</w:t>
      </w:r>
      <w:r w:rsidRPr="00084648">
        <w:rPr>
          <w:b/>
        </w:rPr>
        <w:t xml:space="preserve">: </w:t>
      </w:r>
      <w:r>
        <w:rPr>
          <w:b/>
        </w:rPr>
        <w:t>ADDITIONAL INITIAL AND BOUNDARY CONDITIONS MODELING</w:t>
      </w:r>
    </w:p>
    <w:p w14:paraId="23F9B0F5" w14:textId="77777777" w:rsidR="002737F3" w:rsidRDefault="002737F3" w:rsidP="002737F3"/>
    <w:p w14:paraId="3D067EAC" w14:textId="77777777" w:rsidR="002737F3" w:rsidRPr="006B38BD" w:rsidRDefault="002737F3" w:rsidP="009A3897">
      <w:pPr>
        <w:pStyle w:val="ListParagraph"/>
        <w:numPr>
          <w:ilvl w:val="1"/>
          <w:numId w:val="21"/>
        </w:numPr>
        <w:ind w:left="1080"/>
      </w:pPr>
      <w:r w:rsidRPr="005B1939">
        <w:rPr>
          <w:rFonts w:eastAsia="Times New Roman"/>
        </w:rPr>
        <w:t xml:space="preserve">Perform sensitivity tests to improve specific performance issues. </w:t>
      </w:r>
    </w:p>
    <w:p w14:paraId="3D3653E4" w14:textId="77777777" w:rsidR="002737F3" w:rsidRPr="006B38BD" w:rsidRDefault="002737F3" w:rsidP="009A3897">
      <w:pPr>
        <w:pStyle w:val="ListParagraph"/>
        <w:numPr>
          <w:ilvl w:val="1"/>
          <w:numId w:val="21"/>
        </w:numPr>
        <w:ind w:left="1080"/>
      </w:pPr>
      <w:r w:rsidRPr="006B38BD">
        <w:t>After the base case PGM development is completed, more quantitative approaches can be used to assess boundary condition contributions. Three options for the quantitative assessment of the boundary conditions include:</w:t>
      </w:r>
    </w:p>
    <w:p w14:paraId="683D2FA3" w14:textId="77777777" w:rsidR="002737F3" w:rsidRDefault="002737F3" w:rsidP="006117D3">
      <w:pPr>
        <w:pStyle w:val="NoSpacing"/>
        <w:numPr>
          <w:ilvl w:val="0"/>
          <w:numId w:val="37"/>
        </w:numPr>
        <w:ind w:left="1800"/>
        <w:rPr>
          <w:rFonts w:ascii="Times New Roman" w:hAnsi="Times New Roman" w:cs="Times New Roman"/>
          <w:sz w:val="24"/>
          <w:szCs w:val="24"/>
        </w:rPr>
      </w:pPr>
      <w:r w:rsidRPr="00871B08">
        <w:rPr>
          <w:rFonts w:ascii="Times New Roman" w:hAnsi="Times New Roman" w:cs="Times New Roman"/>
          <w:sz w:val="24"/>
          <w:szCs w:val="24"/>
        </w:rPr>
        <w:t>Estimating Lateral Boundary Inflow using a PGM Reactive Tracer Simulation: This assessment includes a model simulation tracking</w:t>
      </w:r>
      <w:r>
        <w:rPr>
          <w:rFonts w:ascii="Times New Roman" w:hAnsi="Times New Roman" w:cs="Times New Roman"/>
          <w:sz w:val="24"/>
          <w:szCs w:val="24"/>
        </w:rPr>
        <w:t xml:space="preserve"> boundary condition </w:t>
      </w:r>
      <w:r w:rsidRPr="00871B08">
        <w:rPr>
          <w:rFonts w:ascii="Times New Roman" w:hAnsi="Times New Roman" w:cs="Times New Roman"/>
          <w:sz w:val="24"/>
          <w:szCs w:val="24"/>
        </w:rPr>
        <w:t>inputs with reactive tracers to account for atmospheric chemistry. This option is preferred over using unreactive tracers when quantitative estimates of lateral boundary ozone contribution are desired. Examples include CAMx OSAT/PSAT, and CMAQ ISAM.</w:t>
      </w:r>
    </w:p>
    <w:p w14:paraId="0E5969F1" w14:textId="77777777" w:rsidR="002737F3" w:rsidRDefault="002737F3" w:rsidP="006117D3">
      <w:pPr>
        <w:pStyle w:val="NoSpacing"/>
        <w:numPr>
          <w:ilvl w:val="0"/>
          <w:numId w:val="37"/>
        </w:numPr>
        <w:ind w:left="1800"/>
        <w:rPr>
          <w:rFonts w:ascii="Times New Roman" w:hAnsi="Times New Roman" w:cs="Times New Roman"/>
          <w:sz w:val="24"/>
          <w:szCs w:val="24"/>
        </w:rPr>
      </w:pPr>
      <w:r w:rsidRPr="0025495F">
        <w:rPr>
          <w:rFonts w:ascii="Times New Roman" w:hAnsi="Times New Roman" w:cs="Times New Roman"/>
          <w:sz w:val="24"/>
          <w:szCs w:val="24"/>
        </w:rPr>
        <w:t>Estimating U.S. Background Contribution with a PGM Chemistry Simulation: This evaluation includes a simulation with chemistry and no U.S. anthropogenic emissions to assess U.S. background levels of ozone and PM</w:t>
      </w:r>
      <w:r w:rsidRPr="0025495F">
        <w:rPr>
          <w:rFonts w:ascii="Times New Roman" w:hAnsi="Times New Roman" w:cs="Times New Roman"/>
          <w:sz w:val="24"/>
          <w:szCs w:val="24"/>
          <w:vertAlign w:val="subscript"/>
        </w:rPr>
        <w:t>2.5</w:t>
      </w:r>
      <w:r w:rsidRPr="0025495F">
        <w:rPr>
          <w:rFonts w:ascii="Times New Roman" w:hAnsi="Times New Roman" w:cs="Times New Roman"/>
          <w:sz w:val="24"/>
          <w:szCs w:val="24"/>
        </w:rPr>
        <w:t xml:space="preserve">.  </w:t>
      </w:r>
    </w:p>
    <w:p w14:paraId="17420158" w14:textId="77777777" w:rsidR="002737F3" w:rsidRPr="0025495F" w:rsidRDefault="002737F3" w:rsidP="006117D3">
      <w:pPr>
        <w:pStyle w:val="NoSpacing"/>
        <w:numPr>
          <w:ilvl w:val="0"/>
          <w:numId w:val="37"/>
        </w:numPr>
        <w:ind w:left="1800"/>
        <w:rPr>
          <w:rFonts w:ascii="Times New Roman" w:hAnsi="Times New Roman" w:cs="Times New Roman"/>
          <w:sz w:val="24"/>
          <w:szCs w:val="24"/>
        </w:rPr>
      </w:pPr>
      <w:r w:rsidRPr="0025495F">
        <w:rPr>
          <w:rFonts w:ascii="Times New Roman" w:hAnsi="Times New Roman" w:cs="Times New Roman"/>
          <w:sz w:val="24"/>
          <w:szCs w:val="24"/>
        </w:rPr>
        <w:t>Evaluation of a Full PGM Simulation: This assessment includes the PGM MPE operational evaluation with full-chemistry and full-emissions. The analysis would focus on rural or remote sites that have little influence from U.S. anthropogenic emissions.</w:t>
      </w:r>
    </w:p>
    <w:p w14:paraId="5A3A48AF" w14:textId="77777777" w:rsidR="002737F3" w:rsidRDefault="002737F3" w:rsidP="002737F3">
      <w:pPr>
        <w:pStyle w:val="ListParagraph"/>
        <w:ind w:left="1080"/>
      </w:pPr>
    </w:p>
    <w:p w14:paraId="090358DD" w14:textId="77777777" w:rsidR="00084648" w:rsidRPr="00181630" w:rsidRDefault="00084648" w:rsidP="00015FD6"/>
    <w:sectPr w:rsidR="00084648" w:rsidRPr="00181630" w:rsidSect="007E351B">
      <w:pgSz w:w="12240" w:h="15840"/>
      <w:pgMar w:top="1440" w:right="990" w:bottom="1440" w:left="9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46F6E1" w14:textId="77777777" w:rsidR="001A6930" w:rsidRDefault="001A6930" w:rsidP="0097408E">
      <w:r>
        <w:separator/>
      </w:r>
    </w:p>
  </w:endnote>
  <w:endnote w:type="continuationSeparator" w:id="0">
    <w:p w14:paraId="1787995E" w14:textId="77777777" w:rsidR="001A6930" w:rsidRDefault="001A6930" w:rsidP="0097408E">
      <w:r>
        <w:continuationSeparator/>
      </w:r>
    </w:p>
  </w:endnote>
  <w:endnote w:type="continuationNotice" w:id="1">
    <w:p w14:paraId="2BFC5376" w14:textId="77777777" w:rsidR="001A6930" w:rsidRDefault="001A693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42410977"/>
      <w:docPartObj>
        <w:docPartGallery w:val="Page Numbers (Bottom of Page)"/>
        <w:docPartUnique/>
      </w:docPartObj>
    </w:sdtPr>
    <w:sdtEndPr>
      <w:rPr>
        <w:noProof/>
      </w:rPr>
    </w:sdtEndPr>
    <w:sdtContent>
      <w:p w14:paraId="33BD5A1D" w14:textId="663CA683" w:rsidR="003140A6" w:rsidRDefault="003140A6">
        <w:pPr>
          <w:pStyle w:val="Footer"/>
          <w:jc w:val="right"/>
        </w:pPr>
        <w:r>
          <w:fldChar w:fldCharType="begin"/>
        </w:r>
        <w:r>
          <w:instrText xml:space="preserve"> PAGE   \* MERGEFORMAT </w:instrText>
        </w:r>
        <w:r>
          <w:fldChar w:fldCharType="separate"/>
        </w:r>
        <w:r w:rsidR="00A37DB7">
          <w:rPr>
            <w:noProof/>
          </w:rPr>
          <w:t>4</w:t>
        </w:r>
        <w:r>
          <w:rPr>
            <w:noProof/>
          </w:rPr>
          <w:fldChar w:fldCharType="end"/>
        </w:r>
      </w:p>
    </w:sdtContent>
  </w:sdt>
  <w:p w14:paraId="0236E4AE" w14:textId="77777777" w:rsidR="003140A6" w:rsidRDefault="003140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FFA4FC" w14:textId="77777777" w:rsidR="001A6930" w:rsidRDefault="001A6930" w:rsidP="0097408E">
      <w:r>
        <w:separator/>
      </w:r>
    </w:p>
  </w:footnote>
  <w:footnote w:type="continuationSeparator" w:id="0">
    <w:p w14:paraId="59F7FE68" w14:textId="77777777" w:rsidR="001A6930" w:rsidRDefault="001A6930" w:rsidP="0097408E">
      <w:r>
        <w:continuationSeparator/>
      </w:r>
    </w:p>
  </w:footnote>
  <w:footnote w:type="continuationNotice" w:id="1">
    <w:p w14:paraId="6D20590A" w14:textId="77777777" w:rsidR="001A6930" w:rsidRDefault="001A6930"/>
  </w:footnote>
  <w:footnote w:id="2">
    <w:p w14:paraId="5EFD36D8" w14:textId="77777777" w:rsidR="003140A6" w:rsidRPr="007221AE" w:rsidRDefault="003140A6">
      <w:pPr>
        <w:pStyle w:val="FootnoteText"/>
        <w:rPr>
          <w:rFonts w:ascii="Times New Roman" w:hAnsi="Times New Roman" w:cs="Times New Roman"/>
        </w:rPr>
      </w:pPr>
      <w:r w:rsidRPr="007221AE">
        <w:rPr>
          <w:rStyle w:val="FootnoteReference"/>
          <w:rFonts w:ascii="Times New Roman" w:hAnsi="Times New Roman" w:cs="Times New Roman"/>
        </w:rPr>
        <w:footnoteRef/>
      </w:r>
      <w:r w:rsidRPr="007221AE">
        <w:rPr>
          <w:rFonts w:ascii="Times New Roman" w:hAnsi="Times New Roman" w:cs="Times New Roman"/>
        </w:rPr>
        <w:t xml:space="preserve"> Memorandum of Understanding for the Three State Study Data Warehouse Pilot Among U.S. Environmental Protection Agency Region 8, Bureau of Land Management – Colorado, Utah, Wyoming State Offices, U.S. Forest Service Region 2 and 4, National Park Service Intermountain Region, Colorado Department of Public Health and Environment, Wyoming Department of Environmental Quality and Utah Department of </w:t>
      </w:r>
      <w:r w:rsidRPr="004A5115">
        <w:rPr>
          <w:rFonts w:ascii="Times New Roman" w:hAnsi="Times New Roman" w:cs="Times New Roman"/>
        </w:rPr>
        <w:t xml:space="preserve">Environmental Quality, January 2011. </w:t>
      </w:r>
      <w:hyperlink r:id="rId1" w:history="1">
        <w:r w:rsidRPr="004A5115">
          <w:rPr>
            <w:rStyle w:val="Hyperlink"/>
            <w:rFonts w:ascii="Times New Roman" w:hAnsi="Times New Roman" w:cs="Times New Roman"/>
            <w:color w:val="auto"/>
          </w:rPr>
          <w:t>http://views.cira.colostate.edu/tsdw/Resources/project_documents/MOU3State.pdf</w:t>
        </w:r>
      </w:hyperlink>
      <w:r w:rsidRPr="004A5115">
        <w:rPr>
          <w:rFonts w:ascii="Times New Roman" w:hAnsi="Times New Roman" w:cs="Times New Roman"/>
        </w:rPr>
        <w:t xml:space="preserve"> </w:t>
      </w:r>
    </w:p>
  </w:footnote>
  <w:footnote w:id="3">
    <w:p w14:paraId="332DE9F1" w14:textId="77777777" w:rsidR="003140A6" w:rsidRPr="004A5115" w:rsidRDefault="003140A6">
      <w:pPr>
        <w:pStyle w:val="FootnoteText"/>
      </w:pPr>
      <w:r w:rsidRPr="007221AE">
        <w:rPr>
          <w:rStyle w:val="FootnoteReference"/>
          <w:rFonts w:ascii="Times New Roman" w:hAnsi="Times New Roman" w:cs="Times New Roman"/>
        </w:rPr>
        <w:footnoteRef/>
      </w:r>
      <w:r w:rsidRPr="007221AE">
        <w:rPr>
          <w:rFonts w:ascii="Times New Roman" w:hAnsi="Times New Roman" w:cs="Times New Roman"/>
        </w:rPr>
        <w:t xml:space="preserve"> Memorandum of Understanding for the Intermountain West Data Warehouse for Air Quality Among U.S. Environmental Protection Agency Region 8, Bureau of Land Management – Colorado, Utah, Wyoming and New Mexico State Offices, U.S. Forest Service Rocky Mountain Region, Intermountain Region and Southwestern Region (14-MU-11020000-042), </w:t>
      </w:r>
      <w:r w:rsidRPr="004A5115">
        <w:rPr>
          <w:rFonts w:ascii="Times New Roman" w:hAnsi="Times New Roman" w:cs="Times New Roman"/>
        </w:rPr>
        <w:t xml:space="preserve">National Park Service Intermountain Region, Fish and Wildlife Service, Mountain-Prairie Region 6, Colorado Department of Public Health and Environment, Wyoming Department of Environmental Quality, Utah Department of Environmental Quality, and New Mexico Environment Department, 2017. </w:t>
      </w:r>
      <w:hyperlink r:id="rId2" w:history="1">
        <w:r w:rsidRPr="004A5115">
          <w:rPr>
            <w:rStyle w:val="Hyperlink"/>
            <w:rFonts w:ascii="Times New Roman" w:hAnsi="Times New Roman" w:cs="Times New Roman"/>
            <w:color w:val="auto"/>
          </w:rPr>
          <w:t>http://views.cira.colostate.edu/tsdw/Resources/project_documents/Intermountain%20West%20MOU.pdf</w:t>
        </w:r>
      </w:hyperlink>
      <w:r w:rsidRPr="004A5115">
        <w:rPr>
          <w:rFonts w:ascii="Times New Roman" w:hAnsi="Times New Roman" w:cs="Times New Roman"/>
        </w:rPr>
        <w:t xml:space="preserve"> </w:t>
      </w:r>
    </w:p>
  </w:footnote>
  <w:footnote w:id="4">
    <w:p w14:paraId="0374847E" w14:textId="77777777" w:rsidR="003140A6" w:rsidRPr="00E86762" w:rsidRDefault="003140A6" w:rsidP="00E86762">
      <w:pPr>
        <w:rPr>
          <w:rFonts w:eastAsia="Times New Roman"/>
          <w:sz w:val="30"/>
          <w:szCs w:val="30"/>
        </w:rPr>
      </w:pPr>
      <w:r w:rsidRPr="004A5115">
        <w:rPr>
          <w:rStyle w:val="FootnoteReference"/>
        </w:rPr>
        <w:footnoteRef/>
      </w:r>
      <w:r w:rsidRPr="004A5115">
        <w:t xml:space="preserve"> </w:t>
      </w:r>
      <w:r w:rsidRPr="004A5115">
        <w:rPr>
          <w:rFonts w:eastAsia="Times New Roman"/>
          <w:sz w:val="20"/>
          <w:szCs w:val="20"/>
        </w:rPr>
        <w:t>AMENDMENT ONE to the Memorandum of Understanding for the Intermountain West Data Warehouse for Air Quality Among U.S. Environmental Protection Agency, Region 8, Bureau of Land Management (BLM, Colorado, Utah, Wyoming, New Mexico, and Montana</w:t>
      </w:r>
      <w:r>
        <w:rPr>
          <w:rFonts w:eastAsia="Times New Roman"/>
          <w:sz w:val="20"/>
          <w:szCs w:val="20"/>
        </w:rPr>
        <w:t>/Dakotas), U.S. Forest Service [14-MU-11020000-042, Modification 2], Rocky Mountain Region, Intermountain Region, Southwestern Region, and Northern Region, National Park Service Intermountain Region, U.S. Fish and Wildlife Service Natural Resource Program Center, Colorado Department of Public Health and Environment, Wyoming Department of Environmental Quality, Utah Department of Environmental Quality, and New Mexico Environment Department, June 2018.</w:t>
      </w:r>
    </w:p>
  </w:footnote>
  <w:footnote w:id="5">
    <w:p w14:paraId="280B8342" w14:textId="77777777" w:rsidR="003140A6" w:rsidRPr="002D45B6" w:rsidRDefault="003140A6">
      <w:pPr>
        <w:pStyle w:val="FootnoteText"/>
        <w:rPr>
          <w:rFonts w:ascii="Times New Roman" w:hAnsi="Times New Roman" w:cs="Times New Roman"/>
        </w:rPr>
      </w:pPr>
      <w:r w:rsidRPr="002D45B6">
        <w:rPr>
          <w:rStyle w:val="FootnoteReference"/>
          <w:rFonts w:ascii="Times New Roman" w:hAnsi="Times New Roman" w:cs="Times New Roman"/>
        </w:rPr>
        <w:footnoteRef/>
      </w:r>
      <w:r w:rsidRPr="002D45B6">
        <w:rPr>
          <w:rFonts w:ascii="Times New Roman" w:hAnsi="Times New Roman" w:cs="Times New Roman"/>
        </w:rPr>
        <w:t xml:space="preserve"> </w:t>
      </w:r>
      <w:r w:rsidRPr="002D45B6">
        <w:rPr>
          <w:rFonts w:ascii="Times New Roman" w:hAnsi="Times New Roman" w:cs="Times New Roman"/>
        </w:rPr>
        <w:softHyphen/>
      </w:r>
      <w:r w:rsidRPr="002D45B6">
        <w:rPr>
          <w:rFonts w:ascii="Times New Roman" w:hAnsi="Times New Roman" w:cs="Times New Roman"/>
        </w:rPr>
        <w:softHyphen/>
      </w:r>
      <w:r w:rsidRPr="002D45B6">
        <w:rPr>
          <w:rFonts w:ascii="Times New Roman" w:hAnsi="Times New Roman" w:cs="Times New Roman"/>
        </w:rPr>
        <w:softHyphen/>
        <w:t>R</w:t>
      </w:r>
      <w:r w:rsidRPr="004A5115">
        <w:rPr>
          <w:rFonts w:ascii="Times New Roman" w:hAnsi="Times New Roman" w:cs="Times New Roman"/>
        </w:rPr>
        <w:t xml:space="preserve">ecommendations for Evaluating the Performance of the WSAQS Photochemical Grid Model Platform, August 2015. </w:t>
      </w:r>
      <w:hyperlink r:id="rId3" w:history="1">
        <w:r w:rsidRPr="004A5115">
          <w:rPr>
            <w:rStyle w:val="Hyperlink"/>
            <w:rFonts w:ascii="Times New Roman" w:hAnsi="Times New Roman" w:cs="Times New Roman"/>
            <w:color w:val="auto"/>
          </w:rPr>
          <w:t>http://vibe.cira.colostate.edu/wiki/Attachments/Modeling/FINAL_Recommended_PGM_MPE_Analyses_WSAQS_v08172015.pdf</w:t>
        </w:r>
      </w:hyperlink>
    </w:p>
  </w:footnote>
  <w:footnote w:id="6">
    <w:p w14:paraId="5CB73844" w14:textId="77777777" w:rsidR="003140A6" w:rsidRPr="002D45B6" w:rsidRDefault="003140A6" w:rsidP="00871B08">
      <w:pPr>
        <w:pStyle w:val="FootnoteText"/>
        <w:rPr>
          <w:rFonts w:ascii="Times New Roman" w:hAnsi="Times New Roman" w:cs="Times New Roman"/>
        </w:rPr>
      </w:pPr>
      <w:r w:rsidRPr="002D45B6">
        <w:rPr>
          <w:rStyle w:val="FootnoteReference"/>
          <w:rFonts w:ascii="Times New Roman" w:hAnsi="Times New Roman" w:cs="Times New Roman"/>
        </w:rPr>
        <w:footnoteRef/>
      </w:r>
      <w:r w:rsidRPr="002D45B6">
        <w:rPr>
          <w:rFonts w:ascii="Times New Roman" w:hAnsi="Times New Roman" w:cs="Times New Roman"/>
        </w:rPr>
        <w:t xml:space="preserve"> </w:t>
      </w:r>
      <w:r w:rsidRPr="002D45B6">
        <w:rPr>
          <w:rFonts w:ascii="Times New Roman" w:hAnsi="Times New Roman" w:cs="Times New Roman"/>
        </w:rPr>
        <w:softHyphen/>
      </w:r>
      <w:r w:rsidRPr="002D45B6">
        <w:rPr>
          <w:rFonts w:ascii="Times New Roman" w:hAnsi="Times New Roman" w:cs="Times New Roman"/>
        </w:rPr>
        <w:softHyphen/>
      </w:r>
      <w:r w:rsidRPr="002D45B6">
        <w:rPr>
          <w:rFonts w:ascii="Times New Roman" w:hAnsi="Times New Roman" w:cs="Times New Roman"/>
        </w:rPr>
        <w:softHyphen/>
        <w:t xml:space="preserve">Recommendations for Evaluating the Performance of the WSAQS Photochemical Grid Model Platform, August 2015. </w:t>
      </w:r>
    </w:p>
  </w:footnote>
  <w:footnote w:id="7">
    <w:p w14:paraId="7BF678DE" w14:textId="77777777" w:rsidR="003140A6" w:rsidRPr="004A5115" w:rsidRDefault="003140A6" w:rsidP="007B6A99">
      <w:pPr>
        <w:pStyle w:val="FootnoteText"/>
        <w:rPr>
          <w:rFonts w:ascii="Times New Roman" w:hAnsi="Times New Roman" w:cs="Times New Roman"/>
        </w:rPr>
      </w:pPr>
      <w:r w:rsidRPr="002D45B6">
        <w:rPr>
          <w:rStyle w:val="FootnoteReference"/>
          <w:rFonts w:ascii="Times New Roman" w:hAnsi="Times New Roman" w:cs="Times New Roman"/>
        </w:rPr>
        <w:footnoteRef/>
      </w:r>
      <w:r w:rsidRPr="002D45B6">
        <w:rPr>
          <w:rFonts w:ascii="Times New Roman" w:hAnsi="Times New Roman" w:cs="Times New Roman"/>
        </w:rPr>
        <w:t xml:space="preserve"> </w:t>
      </w:r>
      <w:r w:rsidRPr="004A5115">
        <w:rPr>
          <w:rFonts w:ascii="Times New Roman" w:hAnsi="Times New Roman" w:cs="Times New Roman"/>
        </w:rPr>
        <w:softHyphen/>
      </w:r>
      <w:r w:rsidRPr="004A5115">
        <w:rPr>
          <w:rFonts w:ascii="Times New Roman" w:hAnsi="Times New Roman" w:cs="Times New Roman"/>
        </w:rPr>
        <w:softHyphen/>
      </w:r>
      <w:r w:rsidRPr="004A5115">
        <w:rPr>
          <w:rFonts w:ascii="Times New Roman" w:hAnsi="Times New Roman" w:cs="Times New Roman"/>
        </w:rPr>
        <w:softHyphen/>
        <w:t xml:space="preserve">Recommendations for Evaluating the Performance of the WSAQS Photochemical Grid Model Platform, August 2015. </w:t>
      </w:r>
      <w:hyperlink r:id="rId4" w:history="1">
        <w:r w:rsidRPr="004A5115">
          <w:rPr>
            <w:rStyle w:val="Hyperlink"/>
            <w:rFonts w:ascii="Times New Roman" w:hAnsi="Times New Roman" w:cs="Times New Roman"/>
            <w:color w:val="auto"/>
          </w:rPr>
          <w:t>http://vibe.cira.colostate.edu/wiki/Attachments/Modeling/FINAL_Recommended_PGM_MPE_Analyses_WSAQS_v08172015.pdf</w:t>
        </w:r>
      </w:hyperlink>
    </w:p>
  </w:footnote>
  <w:footnote w:id="8">
    <w:p w14:paraId="1362359B" w14:textId="7B28DB37" w:rsidR="003140A6" w:rsidRDefault="003140A6">
      <w:pPr>
        <w:pStyle w:val="FootnoteText"/>
      </w:pPr>
      <w:r w:rsidRPr="004A5115">
        <w:rPr>
          <w:rStyle w:val="FootnoteReference"/>
          <w:rFonts w:ascii="Times New Roman" w:hAnsi="Times New Roman" w:cs="Times New Roman"/>
        </w:rPr>
        <w:footnoteRef/>
      </w:r>
      <w:r w:rsidRPr="004A5115">
        <w:rPr>
          <w:rFonts w:ascii="Times New Roman" w:hAnsi="Times New Roman" w:cs="Times New Roman"/>
        </w:rPr>
        <w:t xml:space="preserve"> </w:t>
      </w:r>
      <w:hyperlink r:id="rId5" w:tooltip="WAQS_2014_WRF_Modeling_Protocol_Final_04Sep2015.pdf" w:history="1">
        <w:r w:rsidRPr="004A5115">
          <w:rPr>
            <w:rStyle w:val="Hyperlink"/>
            <w:rFonts w:ascii="Times New Roman" w:hAnsi="Times New Roman" w:cs="Times New Roman"/>
            <w:color w:val="auto"/>
            <w:szCs w:val="18"/>
          </w:rPr>
          <w:t>WAQS WRF Meteorological Model Final Modeling Protocol 2014 Modeling Year</w:t>
        </w:r>
      </w:hyperlink>
      <w:r w:rsidRPr="004A5115">
        <w:rPr>
          <w:rFonts w:ascii="Times New Roman" w:hAnsi="Times New Roman" w:cs="Times New Roman"/>
          <w:szCs w:val="18"/>
        </w:rPr>
        <w:t>, September 2015.</w:t>
      </w:r>
    </w:p>
  </w:footnote>
  <w:footnote w:id="9">
    <w:p w14:paraId="3987D9A1" w14:textId="77777777" w:rsidR="003140A6" w:rsidRPr="002D45B6" w:rsidRDefault="003140A6" w:rsidP="00BE127B">
      <w:pPr>
        <w:pStyle w:val="FootnoteText"/>
        <w:rPr>
          <w:rFonts w:ascii="Times New Roman" w:hAnsi="Times New Roman" w:cs="Times New Roman"/>
        </w:rPr>
      </w:pPr>
      <w:r w:rsidRPr="00E9325A">
        <w:rPr>
          <w:rStyle w:val="FootnoteReference"/>
          <w:rFonts w:ascii="Times New Roman" w:hAnsi="Times New Roman" w:cs="Times New Roman"/>
        </w:rPr>
        <w:footnoteRef/>
      </w:r>
      <w:r w:rsidRPr="00E9325A">
        <w:rPr>
          <w:rFonts w:ascii="Times New Roman" w:hAnsi="Times New Roman" w:cs="Times New Roman"/>
        </w:rPr>
        <w:t xml:space="preserve"> </w:t>
      </w:r>
      <w:r w:rsidRPr="00E9325A">
        <w:rPr>
          <w:rFonts w:ascii="Times New Roman" w:hAnsi="Times New Roman" w:cs="Times New Roman"/>
        </w:rPr>
        <w:softHyphen/>
      </w:r>
      <w:r w:rsidRPr="00E9325A">
        <w:rPr>
          <w:rFonts w:ascii="Times New Roman" w:hAnsi="Times New Roman" w:cs="Times New Roman"/>
        </w:rPr>
        <w:softHyphen/>
      </w:r>
      <w:r w:rsidRPr="00E9325A">
        <w:rPr>
          <w:rFonts w:ascii="Times New Roman" w:hAnsi="Times New Roman" w:cs="Times New Roman"/>
        </w:rPr>
        <w:softHyphen/>
        <w:t>Recommendations</w:t>
      </w:r>
      <w:r w:rsidRPr="002D45B6">
        <w:rPr>
          <w:rFonts w:ascii="Times New Roman" w:hAnsi="Times New Roman" w:cs="Times New Roman"/>
        </w:rPr>
        <w:t xml:space="preserve"> for Evaluating the Performance of the WSAQS Photochemical Grid Model Platform, August 2015. </w:t>
      </w:r>
    </w:p>
  </w:footnote>
  <w:footnote w:id="10">
    <w:p w14:paraId="2BB4CE6E" w14:textId="18E6A165" w:rsidR="003140A6" w:rsidRPr="004A5115" w:rsidRDefault="003140A6" w:rsidP="009979AC">
      <w:pPr>
        <w:rPr>
          <w:rFonts w:ascii="Arial" w:eastAsia="Times New Roman" w:hAnsi="Arial" w:cs="Arial"/>
          <w:sz w:val="20"/>
          <w:szCs w:val="20"/>
        </w:rPr>
      </w:pPr>
      <w:r w:rsidRPr="00295920">
        <w:rPr>
          <w:rStyle w:val="FootnoteReference"/>
          <w:sz w:val="20"/>
          <w:szCs w:val="20"/>
        </w:rPr>
        <w:footnoteRef/>
      </w:r>
      <w:r w:rsidRPr="00295920">
        <w:rPr>
          <w:sz w:val="20"/>
          <w:szCs w:val="20"/>
        </w:rPr>
        <w:t xml:space="preserve"> </w:t>
      </w:r>
      <w:r w:rsidRPr="004A5115">
        <w:rPr>
          <w:rFonts w:eastAsia="Times New Roman"/>
          <w:sz w:val="20"/>
          <w:szCs w:val="20"/>
        </w:rPr>
        <w:t>N</w:t>
      </w:r>
      <w:r w:rsidR="00483DE9">
        <w:rPr>
          <w:rFonts w:eastAsia="Times New Roman"/>
          <w:sz w:val="20"/>
          <w:szCs w:val="20"/>
        </w:rPr>
        <w:t xml:space="preserve">ational </w:t>
      </w:r>
      <w:r w:rsidRPr="004A5115">
        <w:rPr>
          <w:rFonts w:eastAsia="Times New Roman"/>
          <w:sz w:val="20"/>
          <w:szCs w:val="20"/>
        </w:rPr>
        <w:t>E</w:t>
      </w:r>
      <w:r w:rsidR="00483DE9">
        <w:rPr>
          <w:rFonts w:eastAsia="Times New Roman"/>
          <w:sz w:val="20"/>
          <w:szCs w:val="20"/>
        </w:rPr>
        <w:t xml:space="preserve">nvironmental </w:t>
      </w:r>
      <w:r w:rsidRPr="004A5115">
        <w:rPr>
          <w:rFonts w:eastAsia="Times New Roman"/>
          <w:sz w:val="20"/>
          <w:szCs w:val="20"/>
        </w:rPr>
        <w:t>P</w:t>
      </w:r>
      <w:r w:rsidR="00483DE9">
        <w:rPr>
          <w:rFonts w:eastAsia="Times New Roman"/>
          <w:sz w:val="20"/>
          <w:szCs w:val="20"/>
        </w:rPr>
        <w:t xml:space="preserve">olicy </w:t>
      </w:r>
      <w:r w:rsidRPr="004A5115">
        <w:rPr>
          <w:rFonts w:eastAsia="Times New Roman"/>
          <w:sz w:val="20"/>
          <w:szCs w:val="20"/>
        </w:rPr>
        <w:t>A</w:t>
      </w:r>
      <w:r w:rsidR="00483DE9">
        <w:rPr>
          <w:rFonts w:eastAsia="Times New Roman"/>
          <w:sz w:val="20"/>
          <w:szCs w:val="20"/>
        </w:rPr>
        <w:t>ct</w:t>
      </w:r>
      <w:r w:rsidRPr="004A5115">
        <w:rPr>
          <w:rFonts w:eastAsia="Times New Roman"/>
          <w:sz w:val="20"/>
          <w:szCs w:val="20"/>
        </w:rPr>
        <w:t xml:space="preserve"> – I</w:t>
      </w:r>
      <w:r w:rsidR="00483DE9">
        <w:rPr>
          <w:rFonts w:eastAsia="Times New Roman"/>
          <w:sz w:val="20"/>
          <w:szCs w:val="20"/>
        </w:rPr>
        <w:t xml:space="preserve">ntermountain </w:t>
      </w:r>
      <w:r w:rsidRPr="004A5115">
        <w:rPr>
          <w:rFonts w:eastAsia="Times New Roman"/>
          <w:sz w:val="20"/>
          <w:szCs w:val="20"/>
        </w:rPr>
        <w:t>W</w:t>
      </w:r>
      <w:r w:rsidR="00483DE9">
        <w:rPr>
          <w:rFonts w:eastAsia="Times New Roman"/>
          <w:sz w:val="20"/>
          <w:szCs w:val="20"/>
        </w:rPr>
        <w:t>est</w:t>
      </w:r>
      <w:r w:rsidRPr="004A5115">
        <w:rPr>
          <w:rFonts w:eastAsia="Times New Roman"/>
          <w:sz w:val="20"/>
          <w:szCs w:val="20"/>
        </w:rPr>
        <w:t xml:space="preserve"> D</w:t>
      </w:r>
      <w:r w:rsidR="00483DE9">
        <w:rPr>
          <w:rFonts w:eastAsia="Times New Roman"/>
          <w:sz w:val="20"/>
          <w:szCs w:val="20"/>
        </w:rPr>
        <w:t>ata</w:t>
      </w:r>
      <w:r w:rsidRPr="004A5115">
        <w:rPr>
          <w:rFonts w:eastAsia="Times New Roman"/>
          <w:sz w:val="20"/>
          <w:szCs w:val="20"/>
        </w:rPr>
        <w:t xml:space="preserve"> W</w:t>
      </w:r>
      <w:r w:rsidR="00483DE9">
        <w:rPr>
          <w:rFonts w:eastAsia="Times New Roman"/>
          <w:sz w:val="20"/>
          <w:szCs w:val="20"/>
        </w:rPr>
        <w:t>arehouse</w:t>
      </w:r>
      <w:r w:rsidRPr="004A5115">
        <w:rPr>
          <w:rFonts w:eastAsia="Times New Roman"/>
          <w:sz w:val="20"/>
          <w:szCs w:val="20"/>
        </w:rPr>
        <w:t xml:space="preserve"> P</w:t>
      </w:r>
      <w:r w:rsidR="00483DE9">
        <w:rPr>
          <w:rFonts w:eastAsia="Times New Roman"/>
          <w:sz w:val="20"/>
          <w:szCs w:val="20"/>
        </w:rPr>
        <w:t>rocess Outline</w:t>
      </w:r>
      <w:r w:rsidRPr="004A5115">
        <w:rPr>
          <w:rFonts w:eastAsia="Times New Roman"/>
          <w:sz w:val="20"/>
          <w:szCs w:val="20"/>
        </w:rPr>
        <w:t xml:space="preserve"> [</w:t>
      </w:r>
      <w:r w:rsidR="00483DE9">
        <w:rPr>
          <w:rFonts w:eastAsia="Times New Roman"/>
          <w:sz w:val="20"/>
          <w:szCs w:val="20"/>
        </w:rPr>
        <w:t>version</w:t>
      </w:r>
      <w:r w:rsidRPr="004A5115">
        <w:rPr>
          <w:rFonts w:eastAsia="Times New Roman"/>
          <w:sz w:val="20"/>
          <w:szCs w:val="20"/>
        </w:rPr>
        <w:t xml:space="preserve">: September 19, 2016]: </w:t>
      </w:r>
      <w:hyperlink r:id="rId6" w:history="1">
        <w:r w:rsidRPr="004A5115">
          <w:rPr>
            <w:rStyle w:val="Hyperlink"/>
            <w:rFonts w:eastAsia="Times New Roman"/>
            <w:color w:val="auto"/>
            <w:sz w:val="20"/>
            <w:szCs w:val="20"/>
          </w:rPr>
          <w:t>http://views.cira.colostate.edu/TSDW/Resources/ProceduralDocuments/FINAL_NEPA_IWDW_Process_Outline_Sept19_2016.pdf</w:t>
        </w:r>
      </w:hyperlink>
      <w:r w:rsidRPr="004A5115">
        <w:rPr>
          <w:rFonts w:eastAsia="Times New Roman"/>
          <w:sz w:val="20"/>
          <w:szCs w:val="20"/>
        </w:rPr>
        <w:t xml:space="preserve"> </w:t>
      </w:r>
    </w:p>
    <w:p w14:paraId="52601CBD" w14:textId="77777777" w:rsidR="003140A6" w:rsidRDefault="003140A6">
      <w:pPr>
        <w:pStyle w:val="FootnoteText"/>
      </w:pPr>
    </w:p>
  </w:footnote>
  <w:footnote w:id="11">
    <w:p w14:paraId="4C3B6323" w14:textId="77777777" w:rsidR="003140A6" w:rsidRDefault="003140A6" w:rsidP="005A0CA8">
      <w:pPr>
        <w:pStyle w:val="FootnoteText"/>
      </w:pPr>
      <w:r>
        <w:rPr>
          <w:rStyle w:val="FootnoteReference"/>
        </w:rPr>
        <w:footnoteRef/>
      </w:r>
      <w:r>
        <w:t xml:space="preserve"> </w:t>
      </w:r>
      <w:r w:rsidRPr="002D45B6">
        <w:rPr>
          <w:rFonts w:ascii="Times New Roman" w:hAnsi="Times New Roman" w:cs="Times New Roman"/>
        </w:rPr>
        <w:softHyphen/>
      </w:r>
      <w:r w:rsidRPr="002D45B6">
        <w:rPr>
          <w:rFonts w:ascii="Times New Roman" w:hAnsi="Times New Roman" w:cs="Times New Roman"/>
        </w:rPr>
        <w:softHyphen/>
      </w:r>
      <w:r w:rsidRPr="002D45B6">
        <w:rPr>
          <w:rFonts w:ascii="Times New Roman" w:hAnsi="Times New Roman" w:cs="Times New Roman"/>
        </w:rPr>
        <w:softHyphen/>
        <w:t>Recommendations for Evaluating the Performance of the WSAQS Photochemical Grid Model Platform, August 2015.</w:t>
      </w:r>
    </w:p>
  </w:footnote>
  <w:footnote w:id="12">
    <w:p w14:paraId="08BC1372" w14:textId="4F02CAA1" w:rsidR="00C62AF5" w:rsidRPr="00C62AF5" w:rsidRDefault="00C62AF5">
      <w:pPr>
        <w:pStyle w:val="FootnoteText"/>
        <w:rPr>
          <w:rFonts w:ascii="Times New Roman" w:hAnsi="Times New Roman" w:cs="Times New Roman"/>
        </w:rPr>
      </w:pPr>
      <w:r w:rsidRPr="00C62AF5">
        <w:rPr>
          <w:rStyle w:val="FootnoteReference"/>
          <w:rFonts w:ascii="Times New Roman" w:hAnsi="Times New Roman" w:cs="Times New Roman"/>
        </w:rPr>
        <w:footnoteRef/>
      </w:r>
      <w:r w:rsidRPr="00C62AF5">
        <w:rPr>
          <w:rFonts w:ascii="Times New Roman" w:hAnsi="Times New Roman" w:cs="Times New Roman"/>
        </w:rPr>
        <w:t xml:space="preserve"> </w:t>
      </w:r>
      <w:r w:rsidR="0090626A">
        <w:rPr>
          <w:rFonts w:ascii="Times New Roman" w:hAnsi="Times New Roman" w:cs="Times New Roman"/>
        </w:rPr>
        <w:t>Costs shown</w:t>
      </w:r>
      <w:r w:rsidR="00307196">
        <w:rPr>
          <w:rFonts w:ascii="Times New Roman" w:hAnsi="Times New Roman" w:cs="Times New Roman"/>
        </w:rPr>
        <w:t xml:space="preserve"> </w:t>
      </w:r>
      <w:r w:rsidR="00B94B18">
        <w:rPr>
          <w:rFonts w:ascii="Times New Roman" w:hAnsi="Times New Roman" w:cs="Times New Roman"/>
        </w:rPr>
        <w:t>reflect current</w:t>
      </w:r>
      <w:r w:rsidR="0090626A">
        <w:rPr>
          <w:rFonts w:ascii="Times New Roman" w:hAnsi="Times New Roman" w:cs="Times New Roman"/>
        </w:rPr>
        <w:t xml:space="preserve"> needs</w:t>
      </w:r>
      <w:r w:rsidR="00B94B18">
        <w:rPr>
          <w:rFonts w:ascii="Times New Roman" w:hAnsi="Times New Roman" w:cs="Times New Roman"/>
        </w:rPr>
        <w:t xml:space="preserve"> as of Fall 2021, also </w:t>
      </w:r>
      <w:r w:rsidR="00307196">
        <w:rPr>
          <w:rFonts w:ascii="Times New Roman" w:hAnsi="Times New Roman" w:cs="Times New Roman"/>
        </w:rPr>
        <w:t xml:space="preserve">referencing </w:t>
      </w:r>
      <w:r>
        <w:rPr>
          <w:rFonts w:ascii="Times New Roman" w:hAnsi="Times New Roman" w:cs="Times New Roman"/>
        </w:rPr>
        <w:t>2017 IWDW-WAQS Operational Plan and</w:t>
      </w:r>
      <w:r w:rsidRPr="00C62AF5">
        <w:rPr>
          <w:rFonts w:ascii="Times New Roman" w:hAnsi="Times New Roman" w:cs="Times New Roman"/>
        </w:rPr>
        <w:t xml:space="preserve"> spreadsheet discussed during March 3, 2021 Oversight Committee</w:t>
      </w:r>
      <w:r>
        <w:rPr>
          <w:rFonts w:ascii="Times New Roman" w:hAnsi="Times New Roman" w:cs="Times New Roman"/>
        </w:rPr>
        <w:t>.</w:t>
      </w:r>
    </w:p>
  </w:footnote>
  <w:footnote w:id="13">
    <w:p w14:paraId="1D5725CF" w14:textId="0A06243F" w:rsidR="003140A6" w:rsidRDefault="003140A6" w:rsidP="00E042C5">
      <w:pPr>
        <w:pStyle w:val="FootnoteText"/>
      </w:pPr>
      <w:r>
        <w:rPr>
          <w:rStyle w:val="FootnoteReference"/>
        </w:rPr>
        <w:footnoteRef/>
      </w:r>
      <w:r>
        <w:t xml:space="preserve"> </w:t>
      </w:r>
      <w:r w:rsidRPr="00352E63">
        <w:rPr>
          <w:rFonts w:ascii="Times New Roman" w:eastAsia="Times New Roman" w:hAnsi="Times New Roman" w:cs="Times New Roman"/>
        </w:rPr>
        <w:t>NATIONAL ENVIRONMENTAL POLICY ACT – INTERMOU</w:t>
      </w:r>
      <w:r>
        <w:rPr>
          <w:rFonts w:ascii="Times New Roman" w:eastAsia="Times New Roman" w:hAnsi="Times New Roman" w:cs="Times New Roman"/>
        </w:rPr>
        <w:t>N</w:t>
      </w:r>
      <w:r w:rsidRPr="00352E63">
        <w:rPr>
          <w:rFonts w:ascii="Times New Roman" w:eastAsia="Times New Roman" w:hAnsi="Times New Roman" w:cs="Times New Roman"/>
        </w:rPr>
        <w:t>TAIN WEST DATA WAREHOUSE PROCESS OUTLINE [VERSION: September 19, 2016]: http://views.cira.colostate.edu/TSDW/Resources/ProceduralDocuments/FINAL_NEPA_IWDW_Process_Outline_Sept19_2016.pdf</w:t>
      </w:r>
    </w:p>
  </w:footnote>
  <w:footnote w:id="14">
    <w:p w14:paraId="5439DE0E" w14:textId="317C9BE8" w:rsidR="003140A6" w:rsidRDefault="003140A6">
      <w:pPr>
        <w:pStyle w:val="FootnoteText"/>
      </w:pPr>
      <w:r>
        <w:rPr>
          <w:rStyle w:val="FootnoteReference"/>
        </w:rPr>
        <w:footnoteRef/>
      </w:r>
      <w:r>
        <w:t xml:space="preserve"> </w:t>
      </w:r>
      <w:r w:rsidRPr="004B1408">
        <w:rPr>
          <w:rFonts w:ascii="Times New Roman" w:hAnsi="Times New Roman" w:cs="Times New Roman"/>
        </w:rPr>
        <w:t xml:space="preserve">CARMMS Report: </w:t>
      </w:r>
      <w:r w:rsidRPr="004B1408">
        <w:rPr>
          <w:rFonts w:ascii="Times New Roman" w:hAnsi="Times New Roman" w:cs="Times New Roman"/>
          <w:color w:val="0000FF"/>
        </w:rPr>
        <w:t>https://www.blm.gov/programs/natural‐resources/soil‐air‐water/air/colorado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441A44" w14:textId="70120830" w:rsidR="003140A6" w:rsidRPr="00AA285F" w:rsidRDefault="003140A6" w:rsidP="00AA285F">
    <w:pPr>
      <w:pStyle w:val="Header"/>
    </w:pPr>
    <w:r>
      <w:t>IWDW-WAQS</w:t>
    </w:r>
    <w:r w:rsidR="00555823">
      <w:t>:</w:t>
    </w:r>
    <w:r>
      <w:t xml:space="preserve"> 2022-2024 </w:t>
    </w:r>
    <w:r w:rsidR="00594EBB">
      <w:t>W</w:t>
    </w:r>
    <w:r>
      <w:t>ork</w:t>
    </w:r>
    <w:r w:rsidR="00594EBB">
      <w:t xml:space="preserve"> P</w:t>
    </w:r>
    <w:r>
      <w:t>lan</w:t>
    </w:r>
    <w:r w:rsidR="00594EBB">
      <w:t xml:space="preserve"> – </w:t>
    </w:r>
    <w:r w:rsidR="00307196">
      <w:t>final d</w:t>
    </w:r>
    <w:r w:rsidR="00594EBB">
      <w:t xml:space="preserve">raft </w:t>
    </w:r>
    <w:r w:rsidR="00307196">
      <w:t>after Cooperator review</w:t>
    </w:r>
    <w:r w:rsidR="00594EBB">
      <w:t xml:space="preserve"> </w:t>
    </w:r>
    <w:r>
      <w:t>v0</w:t>
    </w:r>
    <w:r w:rsidR="00307196">
      <w:t>9</w:t>
    </w:r>
    <w:r>
      <w:t>-</w:t>
    </w:r>
    <w:r w:rsidR="00307196">
      <w:t>23</w:t>
    </w:r>
    <w:r>
      <w:t>-2021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CD4E5F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B9A4BE7"/>
    <w:multiLevelType w:val="hybridMultilevel"/>
    <w:tmpl w:val="42C4A4B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B51650"/>
    <w:multiLevelType w:val="hybridMultilevel"/>
    <w:tmpl w:val="6052C93E"/>
    <w:lvl w:ilvl="0" w:tplc="0409000F">
      <w:start w:val="1"/>
      <w:numFmt w:val="decimal"/>
      <w:lvlText w:val="%1."/>
      <w:lvlJc w:val="left"/>
      <w:pPr>
        <w:ind w:left="720" w:hanging="360"/>
      </w:pPr>
    </w:lvl>
    <w:lvl w:ilvl="1" w:tplc="079A0AC8">
      <w:start w:val="1"/>
      <w:numFmt w:val="bullet"/>
      <w:lvlText w:val="•"/>
      <w:lvlJc w:val="left"/>
      <w:pPr>
        <w:ind w:left="1440" w:hanging="360"/>
      </w:pPr>
      <w:rPr>
        <w:rFonts w:ascii="Arial" w:hAnsi="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FE5E29"/>
    <w:multiLevelType w:val="hybridMultilevel"/>
    <w:tmpl w:val="497A4EC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46B78B3"/>
    <w:multiLevelType w:val="hybridMultilevel"/>
    <w:tmpl w:val="1B2E303A"/>
    <w:lvl w:ilvl="0" w:tplc="0409000F">
      <w:start w:val="1"/>
      <w:numFmt w:val="decimal"/>
      <w:lvlText w:val="%1."/>
      <w:lvlJc w:val="left"/>
      <w:pPr>
        <w:tabs>
          <w:tab w:val="num" w:pos="720"/>
        </w:tabs>
        <w:ind w:left="720" w:hanging="360"/>
      </w:pPr>
      <w:rPr>
        <w:rFonts w:hint="default"/>
      </w:rPr>
    </w:lvl>
    <w:lvl w:ilvl="1" w:tplc="9648EE36">
      <w:start w:val="28"/>
      <w:numFmt w:val="bullet"/>
      <w:lvlText w:val="•"/>
      <w:lvlJc w:val="left"/>
      <w:pPr>
        <w:tabs>
          <w:tab w:val="num" w:pos="1440"/>
        </w:tabs>
        <w:ind w:left="1440" w:hanging="360"/>
      </w:pPr>
      <w:rPr>
        <w:rFonts w:ascii="Arial" w:hAnsi="Arial" w:hint="default"/>
      </w:rPr>
    </w:lvl>
    <w:lvl w:ilvl="2" w:tplc="93D026DC">
      <w:start w:val="1"/>
      <w:numFmt w:val="decimal"/>
      <w:lvlText w:val="%3)"/>
      <w:lvlJc w:val="left"/>
      <w:pPr>
        <w:ind w:left="450" w:hanging="360"/>
      </w:pPr>
      <w:rPr>
        <w:rFonts w:hint="default"/>
      </w:rPr>
    </w:lvl>
    <w:lvl w:ilvl="3" w:tplc="616AA708" w:tentative="1">
      <w:start w:val="1"/>
      <w:numFmt w:val="bullet"/>
      <w:lvlText w:val="•"/>
      <w:lvlJc w:val="left"/>
      <w:pPr>
        <w:tabs>
          <w:tab w:val="num" w:pos="2880"/>
        </w:tabs>
        <w:ind w:left="2880" w:hanging="360"/>
      </w:pPr>
      <w:rPr>
        <w:rFonts w:ascii="Arial" w:hAnsi="Arial" w:hint="default"/>
      </w:rPr>
    </w:lvl>
    <w:lvl w:ilvl="4" w:tplc="5DB428F6" w:tentative="1">
      <w:start w:val="1"/>
      <w:numFmt w:val="bullet"/>
      <w:lvlText w:val="•"/>
      <w:lvlJc w:val="left"/>
      <w:pPr>
        <w:tabs>
          <w:tab w:val="num" w:pos="3600"/>
        </w:tabs>
        <w:ind w:left="3600" w:hanging="360"/>
      </w:pPr>
      <w:rPr>
        <w:rFonts w:ascii="Arial" w:hAnsi="Arial" w:hint="default"/>
      </w:rPr>
    </w:lvl>
    <w:lvl w:ilvl="5" w:tplc="DB6A357C" w:tentative="1">
      <w:start w:val="1"/>
      <w:numFmt w:val="bullet"/>
      <w:lvlText w:val="•"/>
      <w:lvlJc w:val="left"/>
      <w:pPr>
        <w:tabs>
          <w:tab w:val="num" w:pos="4320"/>
        </w:tabs>
        <w:ind w:left="4320" w:hanging="360"/>
      </w:pPr>
      <w:rPr>
        <w:rFonts w:ascii="Arial" w:hAnsi="Arial" w:hint="default"/>
      </w:rPr>
    </w:lvl>
    <w:lvl w:ilvl="6" w:tplc="34646D56" w:tentative="1">
      <w:start w:val="1"/>
      <w:numFmt w:val="bullet"/>
      <w:lvlText w:val="•"/>
      <w:lvlJc w:val="left"/>
      <w:pPr>
        <w:tabs>
          <w:tab w:val="num" w:pos="5040"/>
        </w:tabs>
        <w:ind w:left="5040" w:hanging="360"/>
      </w:pPr>
      <w:rPr>
        <w:rFonts w:ascii="Arial" w:hAnsi="Arial" w:hint="default"/>
      </w:rPr>
    </w:lvl>
    <w:lvl w:ilvl="7" w:tplc="035AEBD2" w:tentative="1">
      <w:start w:val="1"/>
      <w:numFmt w:val="bullet"/>
      <w:lvlText w:val="•"/>
      <w:lvlJc w:val="left"/>
      <w:pPr>
        <w:tabs>
          <w:tab w:val="num" w:pos="5760"/>
        </w:tabs>
        <w:ind w:left="5760" w:hanging="360"/>
      </w:pPr>
      <w:rPr>
        <w:rFonts w:ascii="Arial" w:hAnsi="Arial" w:hint="default"/>
      </w:rPr>
    </w:lvl>
    <w:lvl w:ilvl="8" w:tplc="93CA42C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6B848BB"/>
    <w:multiLevelType w:val="hybridMultilevel"/>
    <w:tmpl w:val="F376B20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79F6AD2"/>
    <w:multiLevelType w:val="hybridMultilevel"/>
    <w:tmpl w:val="DBF4A6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202735"/>
    <w:multiLevelType w:val="hybridMultilevel"/>
    <w:tmpl w:val="DBF4A66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FD55C2"/>
    <w:multiLevelType w:val="hybridMultilevel"/>
    <w:tmpl w:val="A6FCB852"/>
    <w:lvl w:ilvl="0" w:tplc="0409000F">
      <w:start w:val="1"/>
      <w:numFmt w:val="decimal"/>
      <w:lvlText w:val="%1."/>
      <w:lvlJc w:val="left"/>
      <w:pPr>
        <w:tabs>
          <w:tab w:val="num" w:pos="1800"/>
        </w:tabs>
        <w:ind w:left="1800" w:hanging="360"/>
      </w:pPr>
      <w:rPr>
        <w:rFonts w:hint="default"/>
      </w:rPr>
    </w:lvl>
    <w:lvl w:ilvl="1" w:tplc="98C42758">
      <w:start w:val="1"/>
      <w:numFmt w:val="bullet"/>
      <w:lvlText w:val="•"/>
      <w:lvlJc w:val="left"/>
      <w:pPr>
        <w:ind w:left="1800" w:hanging="360"/>
      </w:pPr>
      <w:rPr>
        <w:rFonts w:ascii="Arial" w:hAnsi="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D3C43E9"/>
    <w:multiLevelType w:val="hybridMultilevel"/>
    <w:tmpl w:val="0BD8999E"/>
    <w:lvl w:ilvl="0" w:tplc="0409000F">
      <w:start w:val="1"/>
      <w:numFmt w:val="decimal"/>
      <w:lvlText w:val="%1."/>
      <w:lvlJc w:val="left"/>
      <w:pPr>
        <w:ind w:left="3060" w:hanging="360"/>
      </w:p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10" w15:restartNumberingAfterBreak="0">
    <w:nsid w:val="22445101"/>
    <w:multiLevelType w:val="hybridMultilevel"/>
    <w:tmpl w:val="B24EE46C"/>
    <w:lvl w:ilvl="0" w:tplc="0409000F">
      <w:start w:val="1"/>
      <w:numFmt w:val="decimal"/>
      <w:lvlText w:val="%1."/>
      <w:lvlJc w:val="left"/>
      <w:pPr>
        <w:ind w:left="225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29A548C3"/>
    <w:multiLevelType w:val="hybridMultilevel"/>
    <w:tmpl w:val="DBF4A6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73115D"/>
    <w:multiLevelType w:val="hybridMultilevel"/>
    <w:tmpl w:val="89F02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9A4688"/>
    <w:multiLevelType w:val="hybridMultilevel"/>
    <w:tmpl w:val="0AC2F2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C470E8"/>
    <w:multiLevelType w:val="hybridMultilevel"/>
    <w:tmpl w:val="A6FCB852"/>
    <w:lvl w:ilvl="0" w:tplc="0409000F">
      <w:start w:val="1"/>
      <w:numFmt w:val="decimal"/>
      <w:lvlText w:val="%1."/>
      <w:lvlJc w:val="left"/>
      <w:pPr>
        <w:tabs>
          <w:tab w:val="num" w:pos="1800"/>
        </w:tabs>
        <w:ind w:left="1800" w:hanging="360"/>
      </w:pPr>
      <w:rPr>
        <w:rFonts w:hint="default"/>
      </w:rPr>
    </w:lvl>
    <w:lvl w:ilvl="1" w:tplc="98C42758">
      <w:start w:val="1"/>
      <w:numFmt w:val="bullet"/>
      <w:lvlText w:val="•"/>
      <w:lvlJc w:val="left"/>
      <w:pPr>
        <w:ind w:left="1800" w:hanging="360"/>
      </w:pPr>
      <w:rPr>
        <w:rFonts w:ascii="Arial" w:hAnsi="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5066AD0"/>
    <w:multiLevelType w:val="hybridMultilevel"/>
    <w:tmpl w:val="E6304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6930CF"/>
    <w:multiLevelType w:val="hybridMultilevel"/>
    <w:tmpl w:val="0AC2F2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AF74D09"/>
    <w:multiLevelType w:val="hybridMultilevel"/>
    <w:tmpl w:val="0AC2F2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0E83FB4"/>
    <w:multiLevelType w:val="hybridMultilevel"/>
    <w:tmpl w:val="7A22EA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42E57F02"/>
    <w:multiLevelType w:val="hybridMultilevel"/>
    <w:tmpl w:val="7F1AAC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553522D"/>
    <w:multiLevelType w:val="hybridMultilevel"/>
    <w:tmpl w:val="89260D14"/>
    <w:lvl w:ilvl="0" w:tplc="0409000F">
      <w:start w:val="1"/>
      <w:numFmt w:val="decimal"/>
      <w:lvlText w:val="%1."/>
      <w:lvlJc w:val="left"/>
      <w:pPr>
        <w:tabs>
          <w:tab w:val="num" w:pos="2160"/>
        </w:tabs>
        <w:ind w:left="2160" w:hanging="360"/>
      </w:pPr>
      <w:rPr>
        <w:rFonts w:hint="default"/>
      </w:rPr>
    </w:lvl>
    <w:lvl w:ilvl="1" w:tplc="9648EE36">
      <w:start w:val="28"/>
      <w:numFmt w:val="bullet"/>
      <w:lvlText w:val="•"/>
      <w:lvlJc w:val="left"/>
      <w:pPr>
        <w:tabs>
          <w:tab w:val="num" w:pos="2880"/>
        </w:tabs>
        <w:ind w:left="2880" w:hanging="360"/>
      </w:pPr>
      <w:rPr>
        <w:rFonts w:ascii="Arial" w:hAnsi="Arial" w:hint="default"/>
      </w:rPr>
    </w:lvl>
    <w:lvl w:ilvl="2" w:tplc="24400BCE" w:tentative="1">
      <w:start w:val="1"/>
      <w:numFmt w:val="bullet"/>
      <w:lvlText w:val="•"/>
      <w:lvlJc w:val="left"/>
      <w:pPr>
        <w:tabs>
          <w:tab w:val="num" w:pos="3600"/>
        </w:tabs>
        <w:ind w:left="3600" w:hanging="360"/>
      </w:pPr>
      <w:rPr>
        <w:rFonts w:ascii="Arial" w:hAnsi="Arial" w:hint="default"/>
      </w:rPr>
    </w:lvl>
    <w:lvl w:ilvl="3" w:tplc="616AA708" w:tentative="1">
      <w:start w:val="1"/>
      <w:numFmt w:val="bullet"/>
      <w:lvlText w:val="•"/>
      <w:lvlJc w:val="left"/>
      <w:pPr>
        <w:tabs>
          <w:tab w:val="num" w:pos="4320"/>
        </w:tabs>
        <w:ind w:left="4320" w:hanging="360"/>
      </w:pPr>
      <w:rPr>
        <w:rFonts w:ascii="Arial" w:hAnsi="Arial" w:hint="default"/>
      </w:rPr>
    </w:lvl>
    <w:lvl w:ilvl="4" w:tplc="5DB428F6" w:tentative="1">
      <w:start w:val="1"/>
      <w:numFmt w:val="bullet"/>
      <w:lvlText w:val="•"/>
      <w:lvlJc w:val="left"/>
      <w:pPr>
        <w:tabs>
          <w:tab w:val="num" w:pos="5040"/>
        </w:tabs>
        <w:ind w:left="5040" w:hanging="360"/>
      </w:pPr>
      <w:rPr>
        <w:rFonts w:ascii="Arial" w:hAnsi="Arial" w:hint="default"/>
      </w:rPr>
    </w:lvl>
    <w:lvl w:ilvl="5" w:tplc="DB6A357C" w:tentative="1">
      <w:start w:val="1"/>
      <w:numFmt w:val="bullet"/>
      <w:lvlText w:val="•"/>
      <w:lvlJc w:val="left"/>
      <w:pPr>
        <w:tabs>
          <w:tab w:val="num" w:pos="5760"/>
        </w:tabs>
        <w:ind w:left="5760" w:hanging="360"/>
      </w:pPr>
      <w:rPr>
        <w:rFonts w:ascii="Arial" w:hAnsi="Arial" w:hint="default"/>
      </w:rPr>
    </w:lvl>
    <w:lvl w:ilvl="6" w:tplc="34646D56" w:tentative="1">
      <w:start w:val="1"/>
      <w:numFmt w:val="bullet"/>
      <w:lvlText w:val="•"/>
      <w:lvlJc w:val="left"/>
      <w:pPr>
        <w:tabs>
          <w:tab w:val="num" w:pos="6480"/>
        </w:tabs>
        <w:ind w:left="6480" w:hanging="360"/>
      </w:pPr>
      <w:rPr>
        <w:rFonts w:ascii="Arial" w:hAnsi="Arial" w:hint="default"/>
      </w:rPr>
    </w:lvl>
    <w:lvl w:ilvl="7" w:tplc="035AEBD2" w:tentative="1">
      <w:start w:val="1"/>
      <w:numFmt w:val="bullet"/>
      <w:lvlText w:val="•"/>
      <w:lvlJc w:val="left"/>
      <w:pPr>
        <w:tabs>
          <w:tab w:val="num" w:pos="7200"/>
        </w:tabs>
        <w:ind w:left="7200" w:hanging="360"/>
      </w:pPr>
      <w:rPr>
        <w:rFonts w:ascii="Arial" w:hAnsi="Arial" w:hint="default"/>
      </w:rPr>
    </w:lvl>
    <w:lvl w:ilvl="8" w:tplc="93CA42C0" w:tentative="1">
      <w:start w:val="1"/>
      <w:numFmt w:val="bullet"/>
      <w:lvlText w:val="•"/>
      <w:lvlJc w:val="left"/>
      <w:pPr>
        <w:tabs>
          <w:tab w:val="num" w:pos="7920"/>
        </w:tabs>
        <w:ind w:left="7920" w:hanging="360"/>
      </w:pPr>
      <w:rPr>
        <w:rFonts w:ascii="Arial" w:hAnsi="Arial" w:hint="default"/>
      </w:rPr>
    </w:lvl>
  </w:abstractNum>
  <w:abstractNum w:abstractNumId="21" w15:restartNumberingAfterBreak="0">
    <w:nsid w:val="46892FAC"/>
    <w:multiLevelType w:val="hybridMultilevel"/>
    <w:tmpl w:val="519890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79030A6"/>
    <w:multiLevelType w:val="hybridMultilevel"/>
    <w:tmpl w:val="F9082F3C"/>
    <w:lvl w:ilvl="0" w:tplc="9648EE36">
      <w:start w:val="28"/>
      <w:numFmt w:val="bullet"/>
      <w:lvlText w:val="•"/>
      <w:lvlJc w:val="left"/>
      <w:pPr>
        <w:ind w:left="720" w:hanging="360"/>
      </w:pPr>
      <w:rPr>
        <w:rFonts w:ascii="Arial" w:hAnsi="Aria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8F77B54"/>
    <w:multiLevelType w:val="hybridMultilevel"/>
    <w:tmpl w:val="1608A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AFE31C3"/>
    <w:multiLevelType w:val="multilevel"/>
    <w:tmpl w:val="0C080734"/>
    <w:lvl w:ilvl="0">
      <w:start w:val="1"/>
      <w:numFmt w:val="upperRoman"/>
      <w:lvlText w:val="%1."/>
      <w:lvlJc w:val="righ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D4475C4"/>
    <w:multiLevelType w:val="hybridMultilevel"/>
    <w:tmpl w:val="DBF4A6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1A97AAB"/>
    <w:multiLevelType w:val="hybridMultilevel"/>
    <w:tmpl w:val="C3286180"/>
    <w:lvl w:ilvl="0" w:tplc="C51A0E56">
      <w:start w:val="1"/>
      <w:numFmt w:val="decimal"/>
      <w:lvlText w:val="%1."/>
      <w:lvlJc w:val="left"/>
      <w:pPr>
        <w:ind w:left="288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4306A8E"/>
    <w:multiLevelType w:val="hybridMultilevel"/>
    <w:tmpl w:val="93F460BC"/>
    <w:lvl w:ilvl="0" w:tplc="8A4C01F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55642B28"/>
    <w:multiLevelType w:val="hybridMultilevel"/>
    <w:tmpl w:val="A24A5A5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6C22297"/>
    <w:multiLevelType w:val="hybridMultilevel"/>
    <w:tmpl w:val="85BE4E4A"/>
    <w:lvl w:ilvl="0" w:tplc="DDC097E8">
      <w:start w:val="1"/>
      <w:numFmt w:val="decimal"/>
      <w:lvlText w:val="%1."/>
      <w:lvlJc w:val="left"/>
      <w:pPr>
        <w:ind w:left="720" w:hanging="360"/>
      </w:pPr>
      <w:rPr>
        <w:rFonts w:ascii="Times New Roman" w:eastAsiaTheme="minorHAnsi"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890466E"/>
    <w:multiLevelType w:val="hybridMultilevel"/>
    <w:tmpl w:val="7C86C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9AA1E4A"/>
    <w:multiLevelType w:val="hybridMultilevel"/>
    <w:tmpl w:val="0AC2F2B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D1B0E4F"/>
    <w:multiLevelType w:val="hybridMultilevel"/>
    <w:tmpl w:val="2BCA5190"/>
    <w:lvl w:ilvl="0" w:tplc="6CC64B98">
      <w:start w:val="1"/>
      <w:numFmt w:val="bullet"/>
      <w:lvlText w:val="•"/>
      <w:lvlJc w:val="left"/>
      <w:pPr>
        <w:tabs>
          <w:tab w:val="num" w:pos="720"/>
        </w:tabs>
        <w:ind w:left="720" w:hanging="360"/>
      </w:pPr>
      <w:rPr>
        <w:rFonts w:ascii="Arial" w:hAnsi="Arial" w:hint="default"/>
      </w:rPr>
    </w:lvl>
    <w:lvl w:ilvl="1" w:tplc="98C42758">
      <w:start w:val="1"/>
      <w:numFmt w:val="bullet"/>
      <w:lvlText w:val="•"/>
      <w:lvlJc w:val="left"/>
      <w:pPr>
        <w:tabs>
          <w:tab w:val="num" w:pos="1440"/>
        </w:tabs>
        <w:ind w:left="1440" w:hanging="360"/>
      </w:pPr>
      <w:rPr>
        <w:rFonts w:ascii="Arial" w:hAnsi="Arial" w:hint="default"/>
      </w:rPr>
    </w:lvl>
    <w:lvl w:ilvl="2" w:tplc="24400BCE" w:tentative="1">
      <w:start w:val="1"/>
      <w:numFmt w:val="bullet"/>
      <w:lvlText w:val="•"/>
      <w:lvlJc w:val="left"/>
      <w:pPr>
        <w:tabs>
          <w:tab w:val="num" w:pos="2160"/>
        </w:tabs>
        <w:ind w:left="2160" w:hanging="360"/>
      </w:pPr>
      <w:rPr>
        <w:rFonts w:ascii="Arial" w:hAnsi="Arial" w:hint="default"/>
      </w:rPr>
    </w:lvl>
    <w:lvl w:ilvl="3" w:tplc="616AA708" w:tentative="1">
      <w:start w:val="1"/>
      <w:numFmt w:val="bullet"/>
      <w:lvlText w:val="•"/>
      <w:lvlJc w:val="left"/>
      <w:pPr>
        <w:tabs>
          <w:tab w:val="num" w:pos="2880"/>
        </w:tabs>
        <w:ind w:left="2880" w:hanging="360"/>
      </w:pPr>
      <w:rPr>
        <w:rFonts w:ascii="Arial" w:hAnsi="Arial" w:hint="default"/>
      </w:rPr>
    </w:lvl>
    <w:lvl w:ilvl="4" w:tplc="5DB428F6" w:tentative="1">
      <w:start w:val="1"/>
      <w:numFmt w:val="bullet"/>
      <w:lvlText w:val="•"/>
      <w:lvlJc w:val="left"/>
      <w:pPr>
        <w:tabs>
          <w:tab w:val="num" w:pos="3600"/>
        </w:tabs>
        <w:ind w:left="3600" w:hanging="360"/>
      </w:pPr>
      <w:rPr>
        <w:rFonts w:ascii="Arial" w:hAnsi="Arial" w:hint="default"/>
      </w:rPr>
    </w:lvl>
    <w:lvl w:ilvl="5" w:tplc="DB6A357C" w:tentative="1">
      <w:start w:val="1"/>
      <w:numFmt w:val="bullet"/>
      <w:lvlText w:val="•"/>
      <w:lvlJc w:val="left"/>
      <w:pPr>
        <w:tabs>
          <w:tab w:val="num" w:pos="4320"/>
        </w:tabs>
        <w:ind w:left="4320" w:hanging="360"/>
      </w:pPr>
      <w:rPr>
        <w:rFonts w:ascii="Arial" w:hAnsi="Arial" w:hint="default"/>
      </w:rPr>
    </w:lvl>
    <w:lvl w:ilvl="6" w:tplc="34646D56" w:tentative="1">
      <w:start w:val="1"/>
      <w:numFmt w:val="bullet"/>
      <w:lvlText w:val="•"/>
      <w:lvlJc w:val="left"/>
      <w:pPr>
        <w:tabs>
          <w:tab w:val="num" w:pos="5040"/>
        </w:tabs>
        <w:ind w:left="5040" w:hanging="360"/>
      </w:pPr>
      <w:rPr>
        <w:rFonts w:ascii="Arial" w:hAnsi="Arial" w:hint="default"/>
      </w:rPr>
    </w:lvl>
    <w:lvl w:ilvl="7" w:tplc="035AEBD2" w:tentative="1">
      <w:start w:val="1"/>
      <w:numFmt w:val="bullet"/>
      <w:lvlText w:val="•"/>
      <w:lvlJc w:val="left"/>
      <w:pPr>
        <w:tabs>
          <w:tab w:val="num" w:pos="5760"/>
        </w:tabs>
        <w:ind w:left="5760" w:hanging="360"/>
      </w:pPr>
      <w:rPr>
        <w:rFonts w:ascii="Arial" w:hAnsi="Arial" w:hint="default"/>
      </w:rPr>
    </w:lvl>
    <w:lvl w:ilvl="8" w:tplc="93CA42C0"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60712A07"/>
    <w:multiLevelType w:val="hybridMultilevel"/>
    <w:tmpl w:val="E97CE460"/>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16945BA"/>
    <w:multiLevelType w:val="hybridMultilevel"/>
    <w:tmpl w:val="A6FCB852"/>
    <w:lvl w:ilvl="0" w:tplc="0409000F">
      <w:start w:val="1"/>
      <w:numFmt w:val="decimal"/>
      <w:lvlText w:val="%1."/>
      <w:lvlJc w:val="left"/>
      <w:pPr>
        <w:tabs>
          <w:tab w:val="num" w:pos="1800"/>
        </w:tabs>
        <w:ind w:left="1800" w:hanging="360"/>
      </w:pPr>
      <w:rPr>
        <w:rFonts w:hint="default"/>
      </w:rPr>
    </w:lvl>
    <w:lvl w:ilvl="1" w:tplc="98C42758">
      <w:start w:val="1"/>
      <w:numFmt w:val="bullet"/>
      <w:lvlText w:val="•"/>
      <w:lvlJc w:val="left"/>
      <w:pPr>
        <w:ind w:left="1800" w:hanging="360"/>
      </w:pPr>
      <w:rPr>
        <w:rFonts w:ascii="Arial" w:hAnsi="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63992B74"/>
    <w:multiLevelType w:val="hybridMultilevel"/>
    <w:tmpl w:val="1B2E303A"/>
    <w:lvl w:ilvl="0" w:tplc="0409000F">
      <w:start w:val="1"/>
      <w:numFmt w:val="decimal"/>
      <w:lvlText w:val="%1."/>
      <w:lvlJc w:val="left"/>
      <w:pPr>
        <w:tabs>
          <w:tab w:val="num" w:pos="720"/>
        </w:tabs>
        <w:ind w:left="720" w:hanging="360"/>
      </w:pPr>
      <w:rPr>
        <w:rFonts w:hint="default"/>
      </w:rPr>
    </w:lvl>
    <w:lvl w:ilvl="1" w:tplc="9648EE36">
      <w:start w:val="28"/>
      <w:numFmt w:val="bullet"/>
      <w:lvlText w:val="•"/>
      <w:lvlJc w:val="left"/>
      <w:pPr>
        <w:tabs>
          <w:tab w:val="num" w:pos="1440"/>
        </w:tabs>
        <w:ind w:left="1440" w:hanging="360"/>
      </w:pPr>
      <w:rPr>
        <w:rFonts w:ascii="Arial" w:hAnsi="Arial" w:hint="default"/>
      </w:rPr>
    </w:lvl>
    <w:lvl w:ilvl="2" w:tplc="93D026DC">
      <w:start w:val="1"/>
      <w:numFmt w:val="decimal"/>
      <w:lvlText w:val="%3)"/>
      <w:lvlJc w:val="left"/>
      <w:pPr>
        <w:ind w:left="450" w:hanging="360"/>
      </w:pPr>
      <w:rPr>
        <w:rFonts w:hint="default"/>
      </w:rPr>
    </w:lvl>
    <w:lvl w:ilvl="3" w:tplc="616AA708" w:tentative="1">
      <w:start w:val="1"/>
      <w:numFmt w:val="bullet"/>
      <w:lvlText w:val="•"/>
      <w:lvlJc w:val="left"/>
      <w:pPr>
        <w:tabs>
          <w:tab w:val="num" w:pos="2880"/>
        </w:tabs>
        <w:ind w:left="2880" w:hanging="360"/>
      </w:pPr>
      <w:rPr>
        <w:rFonts w:ascii="Arial" w:hAnsi="Arial" w:hint="default"/>
      </w:rPr>
    </w:lvl>
    <w:lvl w:ilvl="4" w:tplc="5DB428F6" w:tentative="1">
      <w:start w:val="1"/>
      <w:numFmt w:val="bullet"/>
      <w:lvlText w:val="•"/>
      <w:lvlJc w:val="left"/>
      <w:pPr>
        <w:tabs>
          <w:tab w:val="num" w:pos="3600"/>
        </w:tabs>
        <w:ind w:left="3600" w:hanging="360"/>
      </w:pPr>
      <w:rPr>
        <w:rFonts w:ascii="Arial" w:hAnsi="Arial" w:hint="default"/>
      </w:rPr>
    </w:lvl>
    <w:lvl w:ilvl="5" w:tplc="DB6A357C" w:tentative="1">
      <w:start w:val="1"/>
      <w:numFmt w:val="bullet"/>
      <w:lvlText w:val="•"/>
      <w:lvlJc w:val="left"/>
      <w:pPr>
        <w:tabs>
          <w:tab w:val="num" w:pos="4320"/>
        </w:tabs>
        <w:ind w:left="4320" w:hanging="360"/>
      </w:pPr>
      <w:rPr>
        <w:rFonts w:ascii="Arial" w:hAnsi="Arial" w:hint="default"/>
      </w:rPr>
    </w:lvl>
    <w:lvl w:ilvl="6" w:tplc="34646D56" w:tentative="1">
      <w:start w:val="1"/>
      <w:numFmt w:val="bullet"/>
      <w:lvlText w:val="•"/>
      <w:lvlJc w:val="left"/>
      <w:pPr>
        <w:tabs>
          <w:tab w:val="num" w:pos="5040"/>
        </w:tabs>
        <w:ind w:left="5040" w:hanging="360"/>
      </w:pPr>
      <w:rPr>
        <w:rFonts w:ascii="Arial" w:hAnsi="Arial" w:hint="default"/>
      </w:rPr>
    </w:lvl>
    <w:lvl w:ilvl="7" w:tplc="035AEBD2" w:tentative="1">
      <w:start w:val="1"/>
      <w:numFmt w:val="bullet"/>
      <w:lvlText w:val="•"/>
      <w:lvlJc w:val="left"/>
      <w:pPr>
        <w:tabs>
          <w:tab w:val="num" w:pos="5760"/>
        </w:tabs>
        <w:ind w:left="5760" w:hanging="360"/>
      </w:pPr>
      <w:rPr>
        <w:rFonts w:ascii="Arial" w:hAnsi="Arial" w:hint="default"/>
      </w:rPr>
    </w:lvl>
    <w:lvl w:ilvl="8" w:tplc="93CA42C0"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65CA5015"/>
    <w:multiLevelType w:val="hybridMultilevel"/>
    <w:tmpl w:val="B4B4156A"/>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BF72CC6"/>
    <w:multiLevelType w:val="hybridMultilevel"/>
    <w:tmpl w:val="BE566E64"/>
    <w:lvl w:ilvl="0" w:tplc="B074DB6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6FB66673"/>
    <w:multiLevelType w:val="hybridMultilevel"/>
    <w:tmpl w:val="0AC2F2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621141E"/>
    <w:multiLevelType w:val="hybridMultilevel"/>
    <w:tmpl w:val="1262B0F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B3909EF"/>
    <w:multiLevelType w:val="hybridMultilevel"/>
    <w:tmpl w:val="0AC2F2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36"/>
  </w:num>
  <w:num w:numId="3">
    <w:abstractNumId w:val="28"/>
  </w:num>
  <w:num w:numId="4">
    <w:abstractNumId w:val="35"/>
  </w:num>
  <w:num w:numId="5">
    <w:abstractNumId w:val="8"/>
  </w:num>
  <w:num w:numId="6">
    <w:abstractNumId w:val="32"/>
  </w:num>
  <w:num w:numId="7">
    <w:abstractNumId w:val="13"/>
  </w:num>
  <w:num w:numId="8">
    <w:abstractNumId w:val="0"/>
  </w:num>
  <w:num w:numId="9">
    <w:abstractNumId w:val="20"/>
  </w:num>
  <w:num w:numId="10">
    <w:abstractNumId w:val="29"/>
  </w:num>
  <w:num w:numId="11">
    <w:abstractNumId w:val="40"/>
  </w:num>
  <w:num w:numId="12">
    <w:abstractNumId w:val="7"/>
  </w:num>
  <w:num w:numId="13">
    <w:abstractNumId w:val="31"/>
  </w:num>
  <w:num w:numId="14">
    <w:abstractNumId w:val="6"/>
  </w:num>
  <w:num w:numId="15">
    <w:abstractNumId w:val="16"/>
  </w:num>
  <w:num w:numId="16">
    <w:abstractNumId w:val="14"/>
  </w:num>
  <w:num w:numId="17">
    <w:abstractNumId w:val="17"/>
  </w:num>
  <w:num w:numId="18">
    <w:abstractNumId w:val="34"/>
  </w:num>
  <w:num w:numId="19">
    <w:abstractNumId w:val="38"/>
  </w:num>
  <w:num w:numId="20">
    <w:abstractNumId w:val="11"/>
  </w:num>
  <w:num w:numId="21">
    <w:abstractNumId w:val="33"/>
  </w:num>
  <w:num w:numId="22">
    <w:abstractNumId w:val="1"/>
  </w:num>
  <w:num w:numId="23">
    <w:abstractNumId w:val="27"/>
  </w:num>
  <w:num w:numId="24">
    <w:abstractNumId w:val="37"/>
  </w:num>
  <w:num w:numId="2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6"/>
  </w:num>
  <w:num w:numId="27">
    <w:abstractNumId w:val="5"/>
  </w:num>
  <w:num w:numId="28">
    <w:abstractNumId w:val="19"/>
  </w:num>
  <w:num w:numId="29">
    <w:abstractNumId w:val="4"/>
  </w:num>
  <w:num w:numId="30">
    <w:abstractNumId w:val="22"/>
  </w:num>
  <w:num w:numId="31">
    <w:abstractNumId w:val="12"/>
  </w:num>
  <w:num w:numId="32">
    <w:abstractNumId w:val="30"/>
  </w:num>
  <w:num w:numId="33">
    <w:abstractNumId w:val="25"/>
  </w:num>
  <w:num w:numId="34">
    <w:abstractNumId w:val="21"/>
  </w:num>
  <w:num w:numId="35">
    <w:abstractNumId w:val="3"/>
  </w:num>
  <w:num w:numId="36">
    <w:abstractNumId w:val="15"/>
  </w:num>
  <w:num w:numId="37">
    <w:abstractNumId w:val="9"/>
  </w:num>
  <w:num w:numId="38">
    <w:abstractNumId w:val="23"/>
  </w:num>
  <w:num w:numId="39">
    <w:abstractNumId w:val="39"/>
  </w:num>
  <w:num w:numId="4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408E"/>
    <w:rsid w:val="00000904"/>
    <w:rsid w:val="00000F37"/>
    <w:rsid w:val="00007110"/>
    <w:rsid w:val="000077A1"/>
    <w:rsid w:val="00015EB3"/>
    <w:rsid w:val="00015FD6"/>
    <w:rsid w:val="00016C42"/>
    <w:rsid w:val="00030E70"/>
    <w:rsid w:val="00031B5A"/>
    <w:rsid w:val="00032DF3"/>
    <w:rsid w:val="00033A7E"/>
    <w:rsid w:val="00033B07"/>
    <w:rsid w:val="000350CC"/>
    <w:rsid w:val="000365F8"/>
    <w:rsid w:val="00037571"/>
    <w:rsid w:val="00037F65"/>
    <w:rsid w:val="000411D1"/>
    <w:rsid w:val="000428D8"/>
    <w:rsid w:val="0004332A"/>
    <w:rsid w:val="00046006"/>
    <w:rsid w:val="000474B8"/>
    <w:rsid w:val="00050483"/>
    <w:rsid w:val="00051693"/>
    <w:rsid w:val="000536B9"/>
    <w:rsid w:val="000542F8"/>
    <w:rsid w:val="00056FF1"/>
    <w:rsid w:val="00057260"/>
    <w:rsid w:val="0006177C"/>
    <w:rsid w:val="000623DA"/>
    <w:rsid w:val="0007649B"/>
    <w:rsid w:val="00076A72"/>
    <w:rsid w:val="00077D0A"/>
    <w:rsid w:val="00081266"/>
    <w:rsid w:val="0008340A"/>
    <w:rsid w:val="00083D2F"/>
    <w:rsid w:val="00084648"/>
    <w:rsid w:val="00084FE1"/>
    <w:rsid w:val="00085372"/>
    <w:rsid w:val="00087739"/>
    <w:rsid w:val="00091D31"/>
    <w:rsid w:val="00092EAF"/>
    <w:rsid w:val="00094924"/>
    <w:rsid w:val="00094BB1"/>
    <w:rsid w:val="0009545E"/>
    <w:rsid w:val="00096048"/>
    <w:rsid w:val="000969EA"/>
    <w:rsid w:val="000A1B72"/>
    <w:rsid w:val="000A1DB2"/>
    <w:rsid w:val="000A3017"/>
    <w:rsid w:val="000B1EFB"/>
    <w:rsid w:val="000B351E"/>
    <w:rsid w:val="000B5831"/>
    <w:rsid w:val="000C2D3E"/>
    <w:rsid w:val="000C31DE"/>
    <w:rsid w:val="000C3663"/>
    <w:rsid w:val="000C7767"/>
    <w:rsid w:val="000D4FA6"/>
    <w:rsid w:val="000D5B2A"/>
    <w:rsid w:val="000D6B0E"/>
    <w:rsid w:val="000E31F5"/>
    <w:rsid w:val="000F33C4"/>
    <w:rsid w:val="000F6598"/>
    <w:rsid w:val="000F78AF"/>
    <w:rsid w:val="000F7EA8"/>
    <w:rsid w:val="00102BC1"/>
    <w:rsid w:val="00107CAC"/>
    <w:rsid w:val="0011007D"/>
    <w:rsid w:val="0011729C"/>
    <w:rsid w:val="00120912"/>
    <w:rsid w:val="001218E4"/>
    <w:rsid w:val="0012338A"/>
    <w:rsid w:val="00123F81"/>
    <w:rsid w:val="001245C1"/>
    <w:rsid w:val="001273B9"/>
    <w:rsid w:val="00127CA0"/>
    <w:rsid w:val="00130CAA"/>
    <w:rsid w:val="0013252F"/>
    <w:rsid w:val="001348C6"/>
    <w:rsid w:val="001360D7"/>
    <w:rsid w:val="0013660A"/>
    <w:rsid w:val="00143D9C"/>
    <w:rsid w:val="00143DDE"/>
    <w:rsid w:val="0014427B"/>
    <w:rsid w:val="00152A5D"/>
    <w:rsid w:val="00152ADD"/>
    <w:rsid w:val="00152E8F"/>
    <w:rsid w:val="00155497"/>
    <w:rsid w:val="0016391E"/>
    <w:rsid w:val="001643B4"/>
    <w:rsid w:val="00165117"/>
    <w:rsid w:val="0017155A"/>
    <w:rsid w:val="001741E1"/>
    <w:rsid w:val="00181630"/>
    <w:rsid w:val="00181A06"/>
    <w:rsid w:val="0018217D"/>
    <w:rsid w:val="00190C0D"/>
    <w:rsid w:val="00196A70"/>
    <w:rsid w:val="001A1760"/>
    <w:rsid w:val="001A6930"/>
    <w:rsid w:val="001A75C3"/>
    <w:rsid w:val="001B3073"/>
    <w:rsid w:val="001B329A"/>
    <w:rsid w:val="001B52B5"/>
    <w:rsid w:val="001B55B7"/>
    <w:rsid w:val="001B5A4C"/>
    <w:rsid w:val="001B6348"/>
    <w:rsid w:val="001C1666"/>
    <w:rsid w:val="001C7491"/>
    <w:rsid w:val="001C7F00"/>
    <w:rsid w:val="001D4C39"/>
    <w:rsid w:val="001D5215"/>
    <w:rsid w:val="001D70EE"/>
    <w:rsid w:val="001D7E9A"/>
    <w:rsid w:val="001E726A"/>
    <w:rsid w:val="001E7968"/>
    <w:rsid w:val="001F2BA7"/>
    <w:rsid w:val="001F650D"/>
    <w:rsid w:val="001F6D29"/>
    <w:rsid w:val="002019AF"/>
    <w:rsid w:val="00205326"/>
    <w:rsid w:val="00211F4E"/>
    <w:rsid w:val="00214CE9"/>
    <w:rsid w:val="00216AB6"/>
    <w:rsid w:val="00221526"/>
    <w:rsid w:val="00221C76"/>
    <w:rsid w:val="002230A1"/>
    <w:rsid w:val="00223247"/>
    <w:rsid w:val="00223BD5"/>
    <w:rsid w:val="00223DF0"/>
    <w:rsid w:val="00224DA3"/>
    <w:rsid w:val="002324AA"/>
    <w:rsid w:val="00233207"/>
    <w:rsid w:val="002402DC"/>
    <w:rsid w:val="0024156F"/>
    <w:rsid w:val="00243109"/>
    <w:rsid w:val="002433A9"/>
    <w:rsid w:val="00243F4F"/>
    <w:rsid w:val="002473B8"/>
    <w:rsid w:val="00247981"/>
    <w:rsid w:val="0025495F"/>
    <w:rsid w:val="002557EA"/>
    <w:rsid w:val="00261636"/>
    <w:rsid w:val="002628C4"/>
    <w:rsid w:val="00262B38"/>
    <w:rsid w:val="00265EBA"/>
    <w:rsid w:val="00271A29"/>
    <w:rsid w:val="002724A0"/>
    <w:rsid w:val="0027276D"/>
    <w:rsid w:val="002737F3"/>
    <w:rsid w:val="00274B06"/>
    <w:rsid w:val="00275925"/>
    <w:rsid w:val="00280796"/>
    <w:rsid w:val="0028202A"/>
    <w:rsid w:val="002847B8"/>
    <w:rsid w:val="0028637D"/>
    <w:rsid w:val="00286708"/>
    <w:rsid w:val="00290CE5"/>
    <w:rsid w:val="00291E78"/>
    <w:rsid w:val="002927D3"/>
    <w:rsid w:val="00295920"/>
    <w:rsid w:val="002A127A"/>
    <w:rsid w:val="002A2DB0"/>
    <w:rsid w:val="002B144F"/>
    <w:rsid w:val="002B3079"/>
    <w:rsid w:val="002B6F03"/>
    <w:rsid w:val="002B730C"/>
    <w:rsid w:val="002C598D"/>
    <w:rsid w:val="002D056A"/>
    <w:rsid w:val="002D45B6"/>
    <w:rsid w:val="002D72B4"/>
    <w:rsid w:val="002E0C70"/>
    <w:rsid w:val="002E1D7A"/>
    <w:rsid w:val="002E7550"/>
    <w:rsid w:val="002E768E"/>
    <w:rsid w:val="002E78DD"/>
    <w:rsid w:val="002F0D1E"/>
    <w:rsid w:val="002F29B3"/>
    <w:rsid w:val="002F55ED"/>
    <w:rsid w:val="00300AC9"/>
    <w:rsid w:val="00301AAB"/>
    <w:rsid w:val="00305870"/>
    <w:rsid w:val="00307196"/>
    <w:rsid w:val="00307BD8"/>
    <w:rsid w:val="00310490"/>
    <w:rsid w:val="003125C7"/>
    <w:rsid w:val="003140A6"/>
    <w:rsid w:val="00323B92"/>
    <w:rsid w:val="00327AB2"/>
    <w:rsid w:val="00336473"/>
    <w:rsid w:val="0034317E"/>
    <w:rsid w:val="00343F53"/>
    <w:rsid w:val="00347CC5"/>
    <w:rsid w:val="003515EE"/>
    <w:rsid w:val="00352E63"/>
    <w:rsid w:val="00352F31"/>
    <w:rsid w:val="0035316A"/>
    <w:rsid w:val="00354DBD"/>
    <w:rsid w:val="0035617F"/>
    <w:rsid w:val="00356761"/>
    <w:rsid w:val="00360C7B"/>
    <w:rsid w:val="003622A9"/>
    <w:rsid w:val="00373ABF"/>
    <w:rsid w:val="003838E9"/>
    <w:rsid w:val="00391CA2"/>
    <w:rsid w:val="003A7593"/>
    <w:rsid w:val="003A79C1"/>
    <w:rsid w:val="003B2D63"/>
    <w:rsid w:val="003B2F44"/>
    <w:rsid w:val="003B410E"/>
    <w:rsid w:val="003B61B6"/>
    <w:rsid w:val="003B7433"/>
    <w:rsid w:val="003C553E"/>
    <w:rsid w:val="003D3536"/>
    <w:rsid w:val="003D36D3"/>
    <w:rsid w:val="003E0788"/>
    <w:rsid w:val="003E48C0"/>
    <w:rsid w:val="003E4C89"/>
    <w:rsid w:val="003E5A6A"/>
    <w:rsid w:val="003E5C30"/>
    <w:rsid w:val="003F2533"/>
    <w:rsid w:val="003F378C"/>
    <w:rsid w:val="003F5F98"/>
    <w:rsid w:val="003F6921"/>
    <w:rsid w:val="003F7A29"/>
    <w:rsid w:val="00400C79"/>
    <w:rsid w:val="00401BD3"/>
    <w:rsid w:val="0040325C"/>
    <w:rsid w:val="00411C8D"/>
    <w:rsid w:val="00412226"/>
    <w:rsid w:val="004129FC"/>
    <w:rsid w:val="00412F53"/>
    <w:rsid w:val="004160C3"/>
    <w:rsid w:val="00417453"/>
    <w:rsid w:val="0041774F"/>
    <w:rsid w:val="0041779C"/>
    <w:rsid w:val="00420C4A"/>
    <w:rsid w:val="00427EF2"/>
    <w:rsid w:val="0043108D"/>
    <w:rsid w:val="004338D9"/>
    <w:rsid w:val="00441D45"/>
    <w:rsid w:val="00457C9E"/>
    <w:rsid w:val="00457D6A"/>
    <w:rsid w:val="00463DBE"/>
    <w:rsid w:val="00467F90"/>
    <w:rsid w:val="0047044A"/>
    <w:rsid w:val="00471B0F"/>
    <w:rsid w:val="00472E6B"/>
    <w:rsid w:val="00474002"/>
    <w:rsid w:val="00474A6F"/>
    <w:rsid w:val="00483DE9"/>
    <w:rsid w:val="00483F19"/>
    <w:rsid w:val="00484C12"/>
    <w:rsid w:val="00486281"/>
    <w:rsid w:val="004A02F0"/>
    <w:rsid w:val="004A1EAD"/>
    <w:rsid w:val="004A2471"/>
    <w:rsid w:val="004A5115"/>
    <w:rsid w:val="004A6A70"/>
    <w:rsid w:val="004A6E9B"/>
    <w:rsid w:val="004B12C3"/>
    <w:rsid w:val="004B1408"/>
    <w:rsid w:val="004B3BFC"/>
    <w:rsid w:val="004B72F7"/>
    <w:rsid w:val="004C3404"/>
    <w:rsid w:val="004C4ED8"/>
    <w:rsid w:val="004C57EF"/>
    <w:rsid w:val="004C656C"/>
    <w:rsid w:val="004C7B73"/>
    <w:rsid w:val="004E5861"/>
    <w:rsid w:val="004E737E"/>
    <w:rsid w:val="004F173A"/>
    <w:rsid w:val="004F621A"/>
    <w:rsid w:val="004F68F5"/>
    <w:rsid w:val="00500EAC"/>
    <w:rsid w:val="00502605"/>
    <w:rsid w:val="00505026"/>
    <w:rsid w:val="005131CD"/>
    <w:rsid w:val="005142B7"/>
    <w:rsid w:val="00515A14"/>
    <w:rsid w:val="005165CB"/>
    <w:rsid w:val="00524031"/>
    <w:rsid w:val="00524DC7"/>
    <w:rsid w:val="00532AE5"/>
    <w:rsid w:val="00542CDF"/>
    <w:rsid w:val="0054571E"/>
    <w:rsid w:val="00547023"/>
    <w:rsid w:val="00550E01"/>
    <w:rsid w:val="00551821"/>
    <w:rsid w:val="00555823"/>
    <w:rsid w:val="005568B1"/>
    <w:rsid w:val="00557A9B"/>
    <w:rsid w:val="00564965"/>
    <w:rsid w:val="00570836"/>
    <w:rsid w:val="0057237A"/>
    <w:rsid w:val="005737B0"/>
    <w:rsid w:val="00575229"/>
    <w:rsid w:val="005766BB"/>
    <w:rsid w:val="00576BB1"/>
    <w:rsid w:val="00583CBA"/>
    <w:rsid w:val="00584454"/>
    <w:rsid w:val="005850AB"/>
    <w:rsid w:val="00591CCB"/>
    <w:rsid w:val="0059220B"/>
    <w:rsid w:val="00594EBB"/>
    <w:rsid w:val="005972CD"/>
    <w:rsid w:val="005A0CA8"/>
    <w:rsid w:val="005A3C92"/>
    <w:rsid w:val="005A40AE"/>
    <w:rsid w:val="005A4585"/>
    <w:rsid w:val="005B1939"/>
    <w:rsid w:val="005B3888"/>
    <w:rsid w:val="005D27EE"/>
    <w:rsid w:val="005D3F47"/>
    <w:rsid w:val="005D5BC8"/>
    <w:rsid w:val="005E443B"/>
    <w:rsid w:val="005E57B8"/>
    <w:rsid w:val="005F0787"/>
    <w:rsid w:val="005F3208"/>
    <w:rsid w:val="005F505B"/>
    <w:rsid w:val="005F5320"/>
    <w:rsid w:val="0060064C"/>
    <w:rsid w:val="006026BD"/>
    <w:rsid w:val="00604D81"/>
    <w:rsid w:val="006057FA"/>
    <w:rsid w:val="00606C02"/>
    <w:rsid w:val="00607E1A"/>
    <w:rsid w:val="006117D3"/>
    <w:rsid w:val="006128D3"/>
    <w:rsid w:val="00614C72"/>
    <w:rsid w:val="00616EE1"/>
    <w:rsid w:val="0061779C"/>
    <w:rsid w:val="00623D5C"/>
    <w:rsid w:val="00630C3E"/>
    <w:rsid w:val="0063314D"/>
    <w:rsid w:val="0063564E"/>
    <w:rsid w:val="00635BA6"/>
    <w:rsid w:val="006419F9"/>
    <w:rsid w:val="00644405"/>
    <w:rsid w:val="006459E1"/>
    <w:rsid w:val="006470D0"/>
    <w:rsid w:val="00650475"/>
    <w:rsid w:val="00650E0D"/>
    <w:rsid w:val="00650F68"/>
    <w:rsid w:val="00656B14"/>
    <w:rsid w:val="00657226"/>
    <w:rsid w:val="006606BC"/>
    <w:rsid w:val="00662FE0"/>
    <w:rsid w:val="00665415"/>
    <w:rsid w:val="00667484"/>
    <w:rsid w:val="00680937"/>
    <w:rsid w:val="00680974"/>
    <w:rsid w:val="006809A7"/>
    <w:rsid w:val="006826D7"/>
    <w:rsid w:val="0069220A"/>
    <w:rsid w:val="0069235A"/>
    <w:rsid w:val="0069391C"/>
    <w:rsid w:val="00696B2C"/>
    <w:rsid w:val="00696F4B"/>
    <w:rsid w:val="006A0E33"/>
    <w:rsid w:val="006A7585"/>
    <w:rsid w:val="006B1A6F"/>
    <w:rsid w:val="006B32E8"/>
    <w:rsid w:val="006B38BD"/>
    <w:rsid w:val="006B4083"/>
    <w:rsid w:val="006C1BF1"/>
    <w:rsid w:val="006C45CE"/>
    <w:rsid w:val="006C7E88"/>
    <w:rsid w:val="006D2D93"/>
    <w:rsid w:val="006D4B3C"/>
    <w:rsid w:val="006E2824"/>
    <w:rsid w:val="006F3D72"/>
    <w:rsid w:val="00701FDC"/>
    <w:rsid w:val="0070424C"/>
    <w:rsid w:val="007104CB"/>
    <w:rsid w:val="00711AAE"/>
    <w:rsid w:val="00713990"/>
    <w:rsid w:val="00714464"/>
    <w:rsid w:val="00715103"/>
    <w:rsid w:val="0071596F"/>
    <w:rsid w:val="0072030E"/>
    <w:rsid w:val="007221AE"/>
    <w:rsid w:val="00722B29"/>
    <w:rsid w:val="00727F4E"/>
    <w:rsid w:val="00736E89"/>
    <w:rsid w:val="00741C2B"/>
    <w:rsid w:val="0075009F"/>
    <w:rsid w:val="00755BEA"/>
    <w:rsid w:val="007620E0"/>
    <w:rsid w:val="00765979"/>
    <w:rsid w:val="00766A5B"/>
    <w:rsid w:val="00771B4F"/>
    <w:rsid w:val="00772527"/>
    <w:rsid w:val="007745B6"/>
    <w:rsid w:val="00783166"/>
    <w:rsid w:val="00794544"/>
    <w:rsid w:val="00796128"/>
    <w:rsid w:val="00797F87"/>
    <w:rsid w:val="007A059C"/>
    <w:rsid w:val="007A07BE"/>
    <w:rsid w:val="007A0C98"/>
    <w:rsid w:val="007A1A64"/>
    <w:rsid w:val="007A6154"/>
    <w:rsid w:val="007A693B"/>
    <w:rsid w:val="007B32A0"/>
    <w:rsid w:val="007B38E4"/>
    <w:rsid w:val="007B6A99"/>
    <w:rsid w:val="007C2A36"/>
    <w:rsid w:val="007D1050"/>
    <w:rsid w:val="007D2B91"/>
    <w:rsid w:val="007D3AF2"/>
    <w:rsid w:val="007D68AC"/>
    <w:rsid w:val="007D6948"/>
    <w:rsid w:val="007D787B"/>
    <w:rsid w:val="007E0799"/>
    <w:rsid w:val="007E351B"/>
    <w:rsid w:val="007F1A68"/>
    <w:rsid w:val="007F4FFD"/>
    <w:rsid w:val="007F6EC2"/>
    <w:rsid w:val="00802492"/>
    <w:rsid w:val="008079AD"/>
    <w:rsid w:val="00807EF9"/>
    <w:rsid w:val="00812E13"/>
    <w:rsid w:val="00816D9F"/>
    <w:rsid w:val="00817A8D"/>
    <w:rsid w:val="00821CD3"/>
    <w:rsid w:val="00825FA5"/>
    <w:rsid w:val="00830D59"/>
    <w:rsid w:val="0083719F"/>
    <w:rsid w:val="00844497"/>
    <w:rsid w:val="008505DF"/>
    <w:rsid w:val="00851226"/>
    <w:rsid w:val="00852132"/>
    <w:rsid w:val="00852FDB"/>
    <w:rsid w:val="0086015A"/>
    <w:rsid w:val="00866706"/>
    <w:rsid w:val="00866BE3"/>
    <w:rsid w:val="0087081D"/>
    <w:rsid w:val="0087097E"/>
    <w:rsid w:val="00871759"/>
    <w:rsid w:val="00871B08"/>
    <w:rsid w:val="00874176"/>
    <w:rsid w:val="00885E6D"/>
    <w:rsid w:val="00887236"/>
    <w:rsid w:val="008908A9"/>
    <w:rsid w:val="00896307"/>
    <w:rsid w:val="008A0688"/>
    <w:rsid w:val="008A11A8"/>
    <w:rsid w:val="008A496F"/>
    <w:rsid w:val="008A50EA"/>
    <w:rsid w:val="008A591D"/>
    <w:rsid w:val="008A5E8F"/>
    <w:rsid w:val="008A60E2"/>
    <w:rsid w:val="008A673D"/>
    <w:rsid w:val="008A6A39"/>
    <w:rsid w:val="008B0275"/>
    <w:rsid w:val="008B1EAB"/>
    <w:rsid w:val="008B2B71"/>
    <w:rsid w:val="008C35B7"/>
    <w:rsid w:val="008C3D0B"/>
    <w:rsid w:val="008C6817"/>
    <w:rsid w:val="008D0355"/>
    <w:rsid w:val="008D0786"/>
    <w:rsid w:val="008D1714"/>
    <w:rsid w:val="008D19F9"/>
    <w:rsid w:val="008D2C55"/>
    <w:rsid w:val="008D3432"/>
    <w:rsid w:val="008E02C4"/>
    <w:rsid w:val="008E3BF9"/>
    <w:rsid w:val="008E4838"/>
    <w:rsid w:val="008E5A63"/>
    <w:rsid w:val="008E5B8B"/>
    <w:rsid w:val="008F24FD"/>
    <w:rsid w:val="008F3218"/>
    <w:rsid w:val="008F3554"/>
    <w:rsid w:val="008F5F69"/>
    <w:rsid w:val="008F7A3B"/>
    <w:rsid w:val="0090076F"/>
    <w:rsid w:val="00903016"/>
    <w:rsid w:val="0090494E"/>
    <w:rsid w:val="0090626A"/>
    <w:rsid w:val="00911413"/>
    <w:rsid w:val="009115AB"/>
    <w:rsid w:val="009118F4"/>
    <w:rsid w:val="00914F4A"/>
    <w:rsid w:val="00915057"/>
    <w:rsid w:val="009154F5"/>
    <w:rsid w:val="00916689"/>
    <w:rsid w:val="00917AED"/>
    <w:rsid w:val="00920421"/>
    <w:rsid w:val="00920F0F"/>
    <w:rsid w:val="00921D4D"/>
    <w:rsid w:val="00922C16"/>
    <w:rsid w:val="00922E4A"/>
    <w:rsid w:val="0092372C"/>
    <w:rsid w:val="009270B9"/>
    <w:rsid w:val="00931D7C"/>
    <w:rsid w:val="009366DA"/>
    <w:rsid w:val="00940E68"/>
    <w:rsid w:val="00942955"/>
    <w:rsid w:val="00942A04"/>
    <w:rsid w:val="00942A1A"/>
    <w:rsid w:val="00950AE6"/>
    <w:rsid w:val="00950DE9"/>
    <w:rsid w:val="00954D8E"/>
    <w:rsid w:val="009638B3"/>
    <w:rsid w:val="00964ECD"/>
    <w:rsid w:val="00965251"/>
    <w:rsid w:val="00966E57"/>
    <w:rsid w:val="00970021"/>
    <w:rsid w:val="00971C2A"/>
    <w:rsid w:val="0097408E"/>
    <w:rsid w:val="009754D7"/>
    <w:rsid w:val="009772B2"/>
    <w:rsid w:val="009810D5"/>
    <w:rsid w:val="009827CC"/>
    <w:rsid w:val="0098792C"/>
    <w:rsid w:val="0099086C"/>
    <w:rsid w:val="009979AC"/>
    <w:rsid w:val="009A1333"/>
    <w:rsid w:val="009A2DA5"/>
    <w:rsid w:val="009A3897"/>
    <w:rsid w:val="009A4035"/>
    <w:rsid w:val="009A65CD"/>
    <w:rsid w:val="009B053D"/>
    <w:rsid w:val="009B22A5"/>
    <w:rsid w:val="009B2DCC"/>
    <w:rsid w:val="009B7EA5"/>
    <w:rsid w:val="009D0459"/>
    <w:rsid w:val="009D2C74"/>
    <w:rsid w:val="009D51FB"/>
    <w:rsid w:val="009D5BF8"/>
    <w:rsid w:val="009D7738"/>
    <w:rsid w:val="009E31AE"/>
    <w:rsid w:val="009E688B"/>
    <w:rsid w:val="009F1094"/>
    <w:rsid w:val="009F70D9"/>
    <w:rsid w:val="00A05382"/>
    <w:rsid w:val="00A06689"/>
    <w:rsid w:val="00A11969"/>
    <w:rsid w:val="00A1435D"/>
    <w:rsid w:val="00A21C84"/>
    <w:rsid w:val="00A2277B"/>
    <w:rsid w:val="00A24F0A"/>
    <w:rsid w:val="00A30E11"/>
    <w:rsid w:val="00A31781"/>
    <w:rsid w:val="00A339B7"/>
    <w:rsid w:val="00A33B4D"/>
    <w:rsid w:val="00A37DB7"/>
    <w:rsid w:val="00A37EAF"/>
    <w:rsid w:val="00A40C85"/>
    <w:rsid w:val="00A4160A"/>
    <w:rsid w:val="00A43EFE"/>
    <w:rsid w:val="00A4675D"/>
    <w:rsid w:val="00A47E1E"/>
    <w:rsid w:val="00A501B9"/>
    <w:rsid w:val="00A54CA6"/>
    <w:rsid w:val="00A56AB1"/>
    <w:rsid w:val="00A603C0"/>
    <w:rsid w:val="00A60D65"/>
    <w:rsid w:val="00A678A3"/>
    <w:rsid w:val="00A77912"/>
    <w:rsid w:val="00A82D14"/>
    <w:rsid w:val="00A82DC2"/>
    <w:rsid w:val="00A83799"/>
    <w:rsid w:val="00A86BC5"/>
    <w:rsid w:val="00A904E2"/>
    <w:rsid w:val="00A94316"/>
    <w:rsid w:val="00A95202"/>
    <w:rsid w:val="00A971AA"/>
    <w:rsid w:val="00A97211"/>
    <w:rsid w:val="00AA1A7C"/>
    <w:rsid w:val="00AA23A6"/>
    <w:rsid w:val="00AA285F"/>
    <w:rsid w:val="00AA646C"/>
    <w:rsid w:val="00AA6FC7"/>
    <w:rsid w:val="00AB0283"/>
    <w:rsid w:val="00AB3E29"/>
    <w:rsid w:val="00AB4382"/>
    <w:rsid w:val="00AB553B"/>
    <w:rsid w:val="00AB6065"/>
    <w:rsid w:val="00AC1421"/>
    <w:rsid w:val="00AC281F"/>
    <w:rsid w:val="00AC5810"/>
    <w:rsid w:val="00AC5841"/>
    <w:rsid w:val="00AC7E15"/>
    <w:rsid w:val="00AD15F4"/>
    <w:rsid w:val="00AD2C46"/>
    <w:rsid w:val="00AD32BE"/>
    <w:rsid w:val="00AD51CD"/>
    <w:rsid w:val="00AD7F3E"/>
    <w:rsid w:val="00AE228B"/>
    <w:rsid w:val="00AE2783"/>
    <w:rsid w:val="00AE64B5"/>
    <w:rsid w:val="00AE7887"/>
    <w:rsid w:val="00AF13A8"/>
    <w:rsid w:val="00AF644C"/>
    <w:rsid w:val="00B002ED"/>
    <w:rsid w:val="00B018C1"/>
    <w:rsid w:val="00B043E3"/>
    <w:rsid w:val="00B103C4"/>
    <w:rsid w:val="00B115B0"/>
    <w:rsid w:val="00B122EE"/>
    <w:rsid w:val="00B17648"/>
    <w:rsid w:val="00B248BB"/>
    <w:rsid w:val="00B25E7F"/>
    <w:rsid w:val="00B32472"/>
    <w:rsid w:val="00B33420"/>
    <w:rsid w:val="00B47BE3"/>
    <w:rsid w:val="00B51D73"/>
    <w:rsid w:val="00B54323"/>
    <w:rsid w:val="00B63194"/>
    <w:rsid w:val="00B65D18"/>
    <w:rsid w:val="00B660F1"/>
    <w:rsid w:val="00B74416"/>
    <w:rsid w:val="00B74DAD"/>
    <w:rsid w:val="00B774BD"/>
    <w:rsid w:val="00B8300D"/>
    <w:rsid w:val="00B86AD5"/>
    <w:rsid w:val="00B86E66"/>
    <w:rsid w:val="00B94626"/>
    <w:rsid w:val="00B94B18"/>
    <w:rsid w:val="00B95F19"/>
    <w:rsid w:val="00BB23E8"/>
    <w:rsid w:val="00BB24F6"/>
    <w:rsid w:val="00BB3A33"/>
    <w:rsid w:val="00BB3CBE"/>
    <w:rsid w:val="00BB7E30"/>
    <w:rsid w:val="00BC4986"/>
    <w:rsid w:val="00BC5551"/>
    <w:rsid w:val="00BC5F68"/>
    <w:rsid w:val="00BC7030"/>
    <w:rsid w:val="00BD23D7"/>
    <w:rsid w:val="00BD29AE"/>
    <w:rsid w:val="00BE127B"/>
    <w:rsid w:val="00BE256A"/>
    <w:rsid w:val="00BE2B4D"/>
    <w:rsid w:val="00BE3595"/>
    <w:rsid w:val="00BE3CC6"/>
    <w:rsid w:val="00BF0220"/>
    <w:rsid w:val="00BF1C17"/>
    <w:rsid w:val="00BF26C4"/>
    <w:rsid w:val="00C02B3A"/>
    <w:rsid w:val="00C10763"/>
    <w:rsid w:val="00C13044"/>
    <w:rsid w:val="00C14249"/>
    <w:rsid w:val="00C261E9"/>
    <w:rsid w:val="00C26398"/>
    <w:rsid w:val="00C267BC"/>
    <w:rsid w:val="00C3271C"/>
    <w:rsid w:val="00C35284"/>
    <w:rsid w:val="00C36437"/>
    <w:rsid w:val="00C3721D"/>
    <w:rsid w:val="00C41D5E"/>
    <w:rsid w:val="00C436B2"/>
    <w:rsid w:val="00C46023"/>
    <w:rsid w:val="00C53127"/>
    <w:rsid w:val="00C54FAC"/>
    <w:rsid w:val="00C55FD3"/>
    <w:rsid w:val="00C6217D"/>
    <w:rsid w:val="00C62AF5"/>
    <w:rsid w:val="00C64D3F"/>
    <w:rsid w:val="00C6695A"/>
    <w:rsid w:val="00C67432"/>
    <w:rsid w:val="00C70A10"/>
    <w:rsid w:val="00C72028"/>
    <w:rsid w:val="00C74803"/>
    <w:rsid w:val="00C76083"/>
    <w:rsid w:val="00C77520"/>
    <w:rsid w:val="00C86C1F"/>
    <w:rsid w:val="00C877EC"/>
    <w:rsid w:val="00C9318F"/>
    <w:rsid w:val="00C94380"/>
    <w:rsid w:val="00C94A79"/>
    <w:rsid w:val="00C97133"/>
    <w:rsid w:val="00CA42DE"/>
    <w:rsid w:val="00CA7613"/>
    <w:rsid w:val="00CA7945"/>
    <w:rsid w:val="00CA7C77"/>
    <w:rsid w:val="00CB09FD"/>
    <w:rsid w:val="00CB1351"/>
    <w:rsid w:val="00CB59D7"/>
    <w:rsid w:val="00CC0A36"/>
    <w:rsid w:val="00CC0D1E"/>
    <w:rsid w:val="00CC1139"/>
    <w:rsid w:val="00CC6502"/>
    <w:rsid w:val="00CD1092"/>
    <w:rsid w:val="00CD3EFC"/>
    <w:rsid w:val="00CE1F91"/>
    <w:rsid w:val="00CE3053"/>
    <w:rsid w:val="00CE3DEC"/>
    <w:rsid w:val="00CE5A41"/>
    <w:rsid w:val="00CE5CC2"/>
    <w:rsid w:val="00CF2287"/>
    <w:rsid w:val="00CF2565"/>
    <w:rsid w:val="00CF2705"/>
    <w:rsid w:val="00CF4D33"/>
    <w:rsid w:val="00CF6D40"/>
    <w:rsid w:val="00CF7B96"/>
    <w:rsid w:val="00D0439F"/>
    <w:rsid w:val="00D06876"/>
    <w:rsid w:val="00D07F3A"/>
    <w:rsid w:val="00D1109D"/>
    <w:rsid w:val="00D13371"/>
    <w:rsid w:val="00D14BB1"/>
    <w:rsid w:val="00D14C5E"/>
    <w:rsid w:val="00D22B7F"/>
    <w:rsid w:val="00D23306"/>
    <w:rsid w:val="00D23BD1"/>
    <w:rsid w:val="00D24A95"/>
    <w:rsid w:val="00D31395"/>
    <w:rsid w:val="00D34FB7"/>
    <w:rsid w:val="00D352EE"/>
    <w:rsid w:val="00D37B47"/>
    <w:rsid w:val="00D422BC"/>
    <w:rsid w:val="00D430DE"/>
    <w:rsid w:val="00D443B6"/>
    <w:rsid w:val="00D45C3D"/>
    <w:rsid w:val="00D53BC3"/>
    <w:rsid w:val="00D611C2"/>
    <w:rsid w:val="00D65A73"/>
    <w:rsid w:val="00D665F9"/>
    <w:rsid w:val="00D670F0"/>
    <w:rsid w:val="00D70A84"/>
    <w:rsid w:val="00D75350"/>
    <w:rsid w:val="00D85F7C"/>
    <w:rsid w:val="00D86130"/>
    <w:rsid w:val="00D8645D"/>
    <w:rsid w:val="00D95033"/>
    <w:rsid w:val="00DA0F69"/>
    <w:rsid w:val="00DA18F8"/>
    <w:rsid w:val="00DA3478"/>
    <w:rsid w:val="00DA4079"/>
    <w:rsid w:val="00DB1B96"/>
    <w:rsid w:val="00DB2098"/>
    <w:rsid w:val="00DB4B8A"/>
    <w:rsid w:val="00DB6257"/>
    <w:rsid w:val="00DC3193"/>
    <w:rsid w:val="00DC39DC"/>
    <w:rsid w:val="00DC4914"/>
    <w:rsid w:val="00DD00D3"/>
    <w:rsid w:val="00DD0D4A"/>
    <w:rsid w:val="00DD5A29"/>
    <w:rsid w:val="00DE0D7B"/>
    <w:rsid w:val="00DE17EE"/>
    <w:rsid w:val="00DE2D85"/>
    <w:rsid w:val="00DE38E2"/>
    <w:rsid w:val="00DE7C98"/>
    <w:rsid w:val="00DF1277"/>
    <w:rsid w:val="00DF40AC"/>
    <w:rsid w:val="00DF5163"/>
    <w:rsid w:val="00DF5F58"/>
    <w:rsid w:val="00DF67D3"/>
    <w:rsid w:val="00DF7AE4"/>
    <w:rsid w:val="00E027EC"/>
    <w:rsid w:val="00E042C5"/>
    <w:rsid w:val="00E13820"/>
    <w:rsid w:val="00E15DA8"/>
    <w:rsid w:val="00E16604"/>
    <w:rsid w:val="00E1672C"/>
    <w:rsid w:val="00E22BAB"/>
    <w:rsid w:val="00E22FCE"/>
    <w:rsid w:val="00E23691"/>
    <w:rsid w:val="00E26465"/>
    <w:rsid w:val="00E2715F"/>
    <w:rsid w:val="00E30511"/>
    <w:rsid w:val="00E314C4"/>
    <w:rsid w:val="00E316E0"/>
    <w:rsid w:val="00E32454"/>
    <w:rsid w:val="00E34ED3"/>
    <w:rsid w:val="00E371C2"/>
    <w:rsid w:val="00E403E7"/>
    <w:rsid w:val="00E42DD7"/>
    <w:rsid w:val="00E46059"/>
    <w:rsid w:val="00E46F99"/>
    <w:rsid w:val="00E56117"/>
    <w:rsid w:val="00E611A5"/>
    <w:rsid w:val="00E62BC0"/>
    <w:rsid w:val="00E65910"/>
    <w:rsid w:val="00E65ACF"/>
    <w:rsid w:val="00E66A0E"/>
    <w:rsid w:val="00E7088D"/>
    <w:rsid w:val="00E74BDE"/>
    <w:rsid w:val="00E750A9"/>
    <w:rsid w:val="00E770FA"/>
    <w:rsid w:val="00E8248F"/>
    <w:rsid w:val="00E829EC"/>
    <w:rsid w:val="00E84D07"/>
    <w:rsid w:val="00E84E84"/>
    <w:rsid w:val="00E86762"/>
    <w:rsid w:val="00E87CCE"/>
    <w:rsid w:val="00E917BA"/>
    <w:rsid w:val="00E9206F"/>
    <w:rsid w:val="00E9325A"/>
    <w:rsid w:val="00E95577"/>
    <w:rsid w:val="00E95FC0"/>
    <w:rsid w:val="00E96501"/>
    <w:rsid w:val="00E96DA6"/>
    <w:rsid w:val="00EA6229"/>
    <w:rsid w:val="00EB0585"/>
    <w:rsid w:val="00EB6E8D"/>
    <w:rsid w:val="00EC0B61"/>
    <w:rsid w:val="00EC575F"/>
    <w:rsid w:val="00EC65AF"/>
    <w:rsid w:val="00ED086E"/>
    <w:rsid w:val="00ED1F9A"/>
    <w:rsid w:val="00ED4D06"/>
    <w:rsid w:val="00ED5FE4"/>
    <w:rsid w:val="00ED6268"/>
    <w:rsid w:val="00ED7B2B"/>
    <w:rsid w:val="00EE048C"/>
    <w:rsid w:val="00EE3966"/>
    <w:rsid w:val="00EF0E3B"/>
    <w:rsid w:val="00EF2A9A"/>
    <w:rsid w:val="00EF53E0"/>
    <w:rsid w:val="00EF5BA3"/>
    <w:rsid w:val="00EF68AD"/>
    <w:rsid w:val="00F03F68"/>
    <w:rsid w:val="00F04773"/>
    <w:rsid w:val="00F05201"/>
    <w:rsid w:val="00F064A0"/>
    <w:rsid w:val="00F13D87"/>
    <w:rsid w:val="00F16C38"/>
    <w:rsid w:val="00F249F8"/>
    <w:rsid w:val="00F27B3A"/>
    <w:rsid w:val="00F31AB0"/>
    <w:rsid w:val="00F338ED"/>
    <w:rsid w:val="00F34793"/>
    <w:rsid w:val="00F364F2"/>
    <w:rsid w:val="00F371A9"/>
    <w:rsid w:val="00F40348"/>
    <w:rsid w:val="00F45217"/>
    <w:rsid w:val="00F47177"/>
    <w:rsid w:val="00F51338"/>
    <w:rsid w:val="00F55DED"/>
    <w:rsid w:val="00F63B7D"/>
    <w:rsid w:val="00F6586B"/>
    <w:rsid w:val="00F6751F"/>
    <w:rsid w:val="00F731C6"/>
    <w:rsid w:val="00F75598"/>
    <w:rsid w:val="00F905CA"/>
    <w:rsid w:val="00F9085A"/>
    <w:rsid w:val="00F92629"/>
    <w:rsid w:val="00F948BB"/>
    <w:rsid w:val="00F96741"/>
    <w:rsid w:val="00F96893"/>
    <w:rsid w:val="00FA063D"/>
    <w:rsid w:val="00FA0D1A"/>
    <w:rsid w:val="00FA36B4"/>
    <w:rsid w:val="00FA418B"/>
    <w:rsid w:val="00FA4D16"/>
    <w:rsid w:val="00FA594A"/>
    <w:rsid w:val="00FA5ED0"/>
    <w:rsid w:val="00FA6C70"/>
    <w:rsid w:val="00FA7B15"/>
    <w:rsid w:val="00FB2A29"/>
    <w:rsid w:val="00FB6D5E"/>
    <w:rsid w:val="00FC1328"/>
    <w:rsid w:val="00FC3F86"/>
    <w:rsid w:val="00FC4790"/>
    <w:rsid w:val="00FC794D"/>
    <w:rsid w:val="00FC7A5D"/>
    <w:rsid w:val="00FD27CC"/>
    <w:rsid w:val="00FD32EF"/>
    <w:rsid w:val="00FD6CC6"/>
    <w:rsid w:val="00FD7396"/>
    <w:rsid w:val="00FE0846"/>
    <w:rsid w:val="00FE4F21"/>
    <w:rsid w:val="00FE7F78"/>
    <w:rsid w:val="00FF1AAA"/>
    <w:rsid w:val="00FF4A63"/>
    <w:rsid w:val="00FF531D"/>
    <w:rsid w:val="00FF571C"/>
    <w:rsid w:val="00FF57A6"/>
    <w:rsid w:val="00FF74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9A8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408E"/>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97408E"/>
    <w:pPr>
      <w:spacing w:after="0" w:line="240" w:lineRule="auto"/>
    </w:pPr>
  </w:style>
  <w:style w:type="paragraph" w:styleId="Header">
    <w:name w:val="header"/>
    <w:basedOn w:val="Normal"/>
    <w:link w:val="HeaderChar"/>
    <w:uiPriority w:val="99"/>
    <w:unhideWhenUsed/>
    <w:rsid w:val="0097408E"/>
    <w:pPr>
      <w:tabs>
        <w:tab w:val="center" w:pos="4680"/>
        <w:tab w:val="right" w:pos="9360"/>
      </w:tabs>
    </w:pPr>
    <w:rPr>
      <w:rFonts w:asciiTheme="minorHAnsi" w:hAnsiTheme="minorHAnsi" w:cstheme="minorBidi"/>
      <w:sz w:val="22"/>
      <w:szCs w:val="22"/>
    </w:rPr>
  </w:style>
  <w:style w:type="character" w:customStyle="1" w:styleId="HeaderChar">
    <w:name w:val="Header Char"/>
    <w:basedOn w:val="DefaultParagraphFont"/>
    <w:link w:val="Header"/>
    <w:uiPriority w:val="99"/>
    <w:rsid w:val="0097408E"/>
  </w:style>
  <w:style w:type="paragraph" w:styleId="Footer">
    <w:name w:val="footer"/>
    <w:basedOn w:val="Normal"/>
    <w:link w:val="FooterChar"/>
    <w:uiPriority w:val="99"/>
    <w:unhideWhenUsed/>
    <w:rsid w:val="0097408E"/>
    <w:pPr>
      <w:tabs>
        <w:tab w:val="center" w:pos="4680"/>
        <w:tab w:val="right" w:pos="9360"/>
      </w:tabs>
    </w:pPr>
    <w:rPr>
      <w:rFonts w:asciiTheme="minorHAnsi" w:hAnsiTheme="minorHAnsi" w:cstheme="minorBidi"/>
      <w:sz w:val="22"/>
      <w:szCs w:val="22"/>
    </w:rPr>
  </w:style>
  <w:style w:type="character" w:customStyle="1" w:styleId="FooterChar">
    <w:name w:val="Footer Char"/>
    <w:basedOn w:val="DefaultParagraphFont"/>
    <w:link w:val="Footer"/>
    <w:uiPriority w:val="99"/>
    <w:rsid w:val="0097408E"/>
  </w:style>
  <w:style w:type="paragraph" w:styleId="ListParagraph">
    <w:name w:val="List Paragraph"/>
    <w:basedOn w:val="Normal"/>
    <w:uiPriority w:val="34"/>
    <w:qFormat/>
    <w:rsid w:val="0097408E"/>
    <w:pPr>
      <w:ind w:left="720"/>
      <w:contextualSpacing/>
    </w:pPr>
  </w:style>
  <w:style w:type="paragraph" w:styleId="FootnoteText">
    <w:name w:val="footnote text"/>
    <w:basedOn w:val="Normal"/>
    <w:link w:val="FootnoteTextChar"/>
    <w:uiPriority w:val="99"/>
    <w:semiHidden/>
    <w:unhideWhenUsed/>
    <w:rsid w:val="00417453"/>
    <w:rPr>
      <w:rFonts w:ascii="Arial" w:hAnsi="Arial" w:cs="Arial"/>
      <w:sz w:val="20"/>
      <w:szCs w:val="20"/>
    </w:rPr>
  </w:style>
  <w:style w:type="character" w:customStyle="1" w:styleId="FootnoteTextChar">
    <w:name w:val="Footnote Text Char"/>
    <w:basedOn w:val="DefaultParagraphFont"/>
    <w:link w:val="FootnoteText"/>
    <w:uiPriority w:val="99"/>
    <w:semiHidden/>
    <w:rsid w:val="00417453"/>
    <w:rPr>
      <w:rFonts w:ascii="Arial" w:hAnsi="Arial" w:cs="Arial"/>
      <w:sz w:val="20"/>
      <w:szCs w:val="20"/>
    </w:rPr>
  </w:style>
  <w:style w:type="character" w:styleId="FootnoteReference">
    <w:name w:val="footnote reference"/>
    <w:basedOn w:val="DefaultParagraphFont"/>
    <w:uiPriority w:val="99"/>
    <w:semiHidden/>
    <w:unhideWhenUsed/>
    <w:rsid w:val="00417453"/>
    <w:rPr>
      <w:vertAlign w:val="superscript"/>
    </w:rPr>
  </w:style>
  <w:style w:type="character" w:customStyle="1" w:styleId="apple-converted-space">
    <w:name w:val="apple-converted-space"/>
    <w:basedOn w:val="DefaultParagraphFont"/>
    <w:rsid w:val="00417453"/>
  </w:style>
  <w:style w:type="character" w:styleId="Hyperlink">
    <w:name w:val="Hyperlink"/>
    <w:basedOn w:val="DefaultParagraphFont"/>
    <w:uiPriority w:val="99"/>
    <w:unhideWhenUsed/>
    <w:rsid w:val="000F33C4"/>
    <w:rPr>
      <w:color w:val="0563C1" w:themeColor="hyperlink"/>
      <w:u w:val="single"/>
    </w:rPr>
  </w:style>
  <w:style w:type="paragraph" w:styleId="ListBullet">
    <w:name w:val="List Bullet"/>
    <w:basedOn w:val="Normal"/>
    <w:rsid w:val="001218E4"/>
    <w:pPr>
      <w:numPr>
        <w:numId w:val="8"/>
      </w:numPr>
      <w:contextualSpacing/>
    </w:pPr>
    <w:rPr>
      <w:rFonts w:eastAsia="Times New Roman"/>
    </w:rPr>
  </w:style>
  <w:style w:type="paragraph" w:styleId="BalloonText">
    <w:name w:val="Balloon Text"/>
    <w:basedOn w:val="Normal"/>
    <w:link w:val="BalloonTextChar"/>
    <w:uiPriority w:val="99"/>
    <w:semiHidden/>
    <w:unhideWhenUsed/>
    <w:rsid w:val="006419F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19F9"/>
    <w:rPr>
      <w:rFonts w:ascii="Segoe UI" w:hAnsi="Segoe UI" w:cs="Segoe UI"/>
      <w:sz w:val="18"/>
      <w:szCs w:val="18"/>
    </w:rPr>
  </w:style>
  <w:style w:type="character" w:styleId="CommentReference">
    <w:name w:val="annotation reference"/>
    <w:basedOn w:val="DefaultParagraphFont"/>
    <w:uiPriority w:val="99"/>
    <w:semiHidden/>
    <w:unhideWhenUsed/>
    <w:rsid w:val="006419F9"/>
    <w:rPr>
      <w:sz w:val="16"/>
      <w:szCs w:val="16"/>
    </w:rPr>
  </w:style>
  <w:style w:type="paragraph" w:styleId="CommentText">
    <w:name w:val="annotation text"/>
    <w:basedOn w:val="Normal"/>
    <w:link w:val="CommentTextChar"/>
    <w:uiPriority w:val="99"/>
    <w:semiHidden/>
    <w:unhideWhenUsed/>
    <w:rsid w:val="006419F9"/>
    <w:rPr>
      <w:sz w:val="20"/>
      <w:szCs w:val="20"/>
    </w:rPr>
  </w:style>
  <w:style w:type="character" w:customStyle="1" w:styleId="CommentTextChar">
    <w:name w:val="Comment Text Char"/>
    <w:basedOn w:val="DefaultParagraphFont"/>
    <w:link w:val="CommentText"/>
    <w:uiPriority w:val="99"/>
    <w:semiHidden/>
    <w:rsid w:val="006419F9"/>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419F9"/>
    <w:rPr>
      <w:b/>
      <w:bCs/>
    </w:rPr>
  </w:style>
  <w:style w:type="character" w:customStyle="1" w:styleId="CommentSubjectChar">
    <w:name w:val="Comment Subject Char"/>
    <w:basedOn w:val="CommentTextChar"/>
    <w:link w:val="CommentSubject"/>
    <w:uiPriority w:val="99"/>
    <w:semiHidden/>
    <w:rsid w:val="006419F9"/>
    <w:rPr>
      <w:rFonts w:ascii="Times New Roman" w:hAnsi="Times New Roman" w:cs="Times New Roman"/>
      <w:b/>
      <w:bCs/>
      <w:sz w:val="20"/>
      <w:szCs w:val="20"/>
    </w:rPr>
  </w:style>
  <w:style w:type="paragraph" w:customStyle="1" w:styleId="Default">
    <w:name w:val="Default"/>
    <w:rsid w:val="008F24FD"/>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CB59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basedOn w:val="DefaultParagraphFont"/>
    <w:link w:val="NoSpacing"/>
    <w:uiPriority w:val="1"/>
    <w:locked/>
    <w:rsid w:val="00970021"/>
  </w:style>
  <w:style w:type="paragraph" w:styleId="Revision">
    <w:name w:val="Revision"/>
    <w:hidden/>
    <w:uiPriority w:val="99"/>
    <w:semiHidden/>
    <w:rsid w:val="002B3079"/>
    <w:pPr>
      <w:spacing w:after="0" w:line="240" w:lineRule="auto"/>
    </w:pPr>
    <w:rPr>
      <w:rFonts w:ascii="Times New Roman" w:hAnsi="Times New Roman" w:cs="Times New Roman"/>
      <w:sz w:val="24"/>
      <w:szCs w:val="24"/>
    </w:rPr>
  </w:style>
  <w:style w:type="paragraph" w:customStyle="1" w:styleId="gmail-m-6492328808163913006msonospacing">
    <w:name w:val="gmail-m_-6492328808163913006msonospacing"/>
    <w:basedOn w:val="Normal"/>
    <w:rsid w:val="003D3536"/>
    <w:pPr>
      <w:spacing w:before="100" w:beforeAutospacing="1" w:after="100" w:afterAutospacing="1"/>
    </w:pPr>
    <w:rPr>
      <w:rFonts w:ascii="Calibri" w:hAnsi="Calibri" w:cs="Calibri"/>
      <w:sz w:val="22"/>
      <w:szCs w:val="22"/>
    </w:rPr>
  </w:style>
  <w:style w:type="character" w:customStyle="1" w:styleId="UnresolvedMention1">
    <w:name w:val="Unresolved Mention1"/>
    <w:basedOn w:val="DefaultParagraphFont"/>
    <w:uiPriority w:val="99"/>
    <w:semiHidden/>
    <w:unhideWhenUsed/>
    <w:rsid w:val="0087175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4524669">
      <w:bodyDiv w:val="1"/>
      <w:marLeft w:val="0"/>
      <w:marRight w:val="0"/>
      <w:marTop w:val="0"/>
      <w:marBottom w:val="0"/>
      <w:divBdr>
        <w:top w:val="none" w:sz="0" w:space="0" w:color="auto"/>
        <w:left w:val="none" w:sz="0" w:space="0" w:color="auto"/>
        <w:bottom w:val="none" w:sz="0" w:space="0" w:color="auto"/>
        <w:right w:val="none" w:sz="0" w:space="0" w:color="auto"/>
      </w:divBdr>
      <w:divsChild>
        <w:div w:id="1473014171">
          <w:marLeft w:val="360"/>
          <w:marRight w:val="0"/>
          <w:marTop w:val="200"/>
          <w:marBottom w:val="0"/>
          <w:divBdr>
            <w:top w:val="none" w:sz="0" w:space="0" w:color="auto"/>
            <w:left w:val="none" w:sz="0" w:space="0" w:color="auto"/>
            <w:bottom w:val="none" w:sz="0" w:space="0" w:color="auto"/>
            <w:right w:val="none" w:sz="0" w:space="0" w:color="auto"/>
          </w:divBdr>
        </w:div>
        <w:div w:id="1925993418">
          <w:marLeft w:val="360"/>
          <w:marRight w:val="0"/>
          <w:marTop w:val="200"/>
          <w:marBottom w:val="0"/>
          <w:divBdr>
            <w:top w:val="none" w:sz="0" w:space="0" w:color="auto"/>
            <w:left w:val="none" w:sz="0" w:space="0" w:color="auto"/>
            <w:bottom w:val="none" w:sz="0" w:space="0" w:color="auto"/>
            <w:right w:val="none" w:sz="0" w:space="0" w:color="auto"/>
          </w:divBdr>
        </w:div>
        <w:div w:id="466817690">
          <w:marLeft w:val="360"/>
          <w:marRight w:val="0"/>
          <w:marTop w:val="200"/>
          <w:marBottom w:val="0"/>
          <w:divBdr>
            <w:top w:val="none" w:sz="0" w:space="0" w:color="auto"/>
            <w:left w:val="none" w:sz="0" w:space="0" w:color="auto"/>
            <w:bottom w:val="none" w:sz="0" w:space="0" w:color="auto"/>
            <w:right w:val="none" w:sz="0" w:space="0" w:color="auto"/>
          </w:divBdr>
        </w:div>
        <w:div w:id="2096199684">
          <w:marLeft w:val="360"/>
          <w:marRight w:val="0"/>
          <w:marTop w:val="200"/>
          <w:marBottom w:val="0"/>
          <w:divBdr>
            <w:top w:val="none" w:sz="0" w:space="0" w:color="auto"/>
            <w:left w:val="none" w:sz="0" w:space="0" w:color="auto"/>
            <w:bottom w:val="none" w:sz="0" w:space="0" w:color="auto"/>
            <w:right w:val="none" w:sz="0" w:space="0" w:color="auto"/>
          </w:divBdr>
        </w:div>
        <w:div w:id="2055696576">
          <w:marLeft w:val="360"/>
          <w:marRight w:val="0"/>
          <w:marTop w:val="200"/>
          <w:marBottom w:val="0"/>
          <w:divBdr>
            <w:top w:val="none" w:sz="0" w:space="0" w:color="auto"/>
            <w:left w:val="none" w:sz="0" w:space="0" w:color="auto"/>
            <w:bottom w:val="none" w:sz="0" w:space="0" w:color="auto"/>
            <w:right w:val="none" w:sz="0" w:space="0" w:color="auto"/>
          </w:divBdr>
        </w:div>
      </w:divsChild>
    </w:div>
    <w:div w:id="734860994">
      <w:bodyDiv w:val="1"/>
      <w:marLeft w:val="0"/>
      <w:marRight w:val="0"/>
      <w:marTop w:val="0"/>
      <w:marBottom w:val="0"/>
      <w:divBdr>
        <w:top w:val="none" w:sz="0" w:space="0" w:color="auto"/>
        <w:left w:val="none" w:sz="0" w:space="0" w:color="auto"/>
        <w:bottom w:val="none" w:sz="0" w:space="0" w:color="auto"/>
        <w:right w:val="none" w:sz="0" w:space="0" w:color="auto"/>
      </w:divBdr>
      <w:divsChild>
        <w:div w:id="1819304182">
          <w:marLeft w:val="1800"/>
          <w:marRight w:val="0"/>
          <w:marTop w:val="0"/>
          <w:marBottom w:val="0"/>
          <w:divBdr>
            <w:top w:val="none" w:sz="0" w:space="0" w:color="auto"/>
            <w:left w:val="none" w:sz="0" w:space="0" w:color="auto"/>
            <w:bottom w:val="none" w:sz="0" w:space="0" w:color="auto"/>
            <w:right w:val="none" w:sz="0" w:space="0" w:color="auto"/>
          </w:divBdr>
        </w:div>
        <w:div w:id="139079946">
          <w:marLeft w:val="1800"/>
          <w:marRight w:val="0"/>
          <w:marTop w:val="0"/>
          <w:marBottom w:val="0"/>
          <w:divBdr>
            <w:top w:val="none" w:sz="0" w:space="0" w:color="auto"/>
            <w:left w:val="none" w:sz="0" w:space="0" w:color="auto"/>
            <w:bottom w:val="none" w:sz="0" w:space="0" w:color="auto"/>
            <w:right w:val="none" w:sz="0" w:space="0" w:color="auto"/>
          </w:divBdr>
        </w:div>
        <w:div w:id="1876693867">
          <w:marLeft w:val="1800"/>
          <w:marRight w:val="0"/>
          <w:marTop w:val="0"/>
          <w:marBottom w:val="0"/>
          <w:divBdr>
            <w:top w:val="none" w:sz="0" w:space="0" w:color="auto"/>
            <w:left w:val="none" w:sz="0" w:space="0" w:color="auto"/>
            <w:bottom w:val="none" w:sz="0" w:space="0" w:color="auto"/>
            <w:right w:val="none" w:sz="0" w:space="0" w:color="auto"/>
          </w:divBdr>
        </w:div>
        <w:div w:id="770053502">
          <w:marLeft w:val="1800"/>
          <w:marRight w:val="0"/>
          <w:marTop w:val="0"/>
          <w:marBottom w:val="0"/>
          <w:divBdr>
            <w:top w:val="none" w:sz="0" w:space="0" w:color="auto"/>
            <w:left w:val="none" w:sz="0" w:space="0" w:color="auto"/>
            <w:bottom w:val="none" w:sz="0" w:space="0" w:color="auto"/>
            <w:right w:val="none" w:sz="0" w:space="0" w:color="auto"/>
          </w:divBdr>
        </w:div>
        <w:div w:id="2132236034">
          <w:marLeft w:val="1800"/>
          <w:marRight w:val="0"/>
          <w:marTop w:val="0"/>
          <w:marBottom w:val="0"/>
          <w:divBdr>
            <w:top w:val="none" w:sz="0" w:space="0" w:color="auto"/>
            <w:left w:val="none" w:sz="0" w:space="0" w:color="auto"/>
            <w:bottom w:val="none" w:sz="0" w:space="0" w:color="auto"/>
            <w:right w:val="none" w:sz="0" w:space="0" w:color="auto"/>
          </w:divBdr>
        </w:div>
        <w:div w:id="2088502074">
          <w:marLeft w:val="1800"/>
          <w:marRight w:val="0"/>
          <w:marTop w:val="0"/>
          <w:marBottom w:val="0"/>
          <w:divBdr>
            <w:top w:val="none" w:sz="0" w:space="0" w:color="auto"/>
            <w:left w:val="none" w:sz="0" w:space="0" w:color="auto"/>
            <w:bottom w:val="none" w:sz="0" w:space="0" w:color="auto"/>
            <w:right w:val="none" w:sz="0" w:space="0" w:color="auto"/>
          </w:divBdr>
        </w:div>
        <w:div w:id="117071325">
          <w:marLeft w:val="1800"/>
          <w:marRight w:val="0"/>
          <w:marTop w:val="0"/>
          <w:marBottom w:val="0"/>
          <w:divBdr>
            <w:top w:val="none" w:sz="0" w:space="0" w:color="auto"/>
            <w:left w:val="none" w:sz="0" w:space="0" w:color="auto"/>
            <w:bottom w:val="none" w:sz="0" w:space="0" w:color="auto"/>
            <w:right w:val="none" w:sz="0" w:space="0" w:color="auto"/>
          </w:divBdr>
        </w:div>
        <w:div w:id="1506438330">
          <w:marLeft w:val="1800"/>
          <w:marRight w:val="0"/>
          <w:marTop w:val="0"/>
          <w:marBottom w:val="0"/>
          <w:divBdr>
            <w:top w:val="none" w:sz="0" w:space="0" w:color="auto"/>
            <w:left w:val="none" w:sz="0" w:space="0" w:color="auto"/>
            <w:bottom w:val="none" w:sz="0" w:space="0" w:color="auto"/>
            <w:right w:val="none" w:sz="0" w:space="0" w:color="auto"/>
          </w:divBdr>
        </w:div>
        <w:div w:id="122846985">
          <w:marLeft w:val="1800"/>
          <w:marRight w:val="0"/>
          <w:marTop w:val="0"/>
          <w:marBottom w:val="0"/>
          <w:divBdr>
            <w:top w:val="none" w:sz="0" w:space="0" w:color="auto"/>
            <w:left w:val="none" w:sz="0" w:space="0" w:color="auto"/>
            <w:bottom w:val="none" w:sz="0" w:space="0" w:color="auto"/>
            <w:right w:val="none" w:sz="0" w:space="0" w:color="auto"/>
          </w:divBdr>
        </w:div>
      </w:divsChild>
    </w:div>
    <w:div w:id="987977056">
      <w:bodyDiv w:val="1"/>
      <w:marLeft w:val="0"/>
      <w:marRight w:val="0"/>
      <w:marTop w:val="0"/>
      <w:marBottom w:val="0"/>
      <w:divBdr>
        <w:top w:val="none" w:sz="0" w:space="0" w:color="auto"/>
        <w:left w:val="none" w:sz="0" w:space="0" w:color="auto"/>
        <w:bottom w:val="none" w:sz="0" w:space="0" w:color="auto"/>
        <w:right w:val="none" w:sz="0" w:space="0" w:color="auto"/>
      </w:divBdr>
    </w:div>
    <w:div w:id="1072968988">
      <w:bodyDiv w:val="1"/>
      <w:marLeft w:val="0"/>
      <w:marRight w:val="0"/>
      <w:marTop w:val="0"/>
      <w:marBottom w:val="0"/>
      <w:divBdr>
        <w:top w:val="none" w:sz="0" w:space="0" w:color="auto"/>
        <w:left w:val="none" w:sz="0" w:space="0" w:color="auto"/>
        <w:bottom w:val="none" w:sz="0" w:space="0" w:color="auto"/>
        <w:right w:val="none" w:sz="0" w:space="0" w:color="auto"/>
      </w:divBdr>
      <w:divsChild>
        <w:div w:id="667709256">
          <w:marLeft w:val="0"/>
          <w:marRight w:val="0"/>
          <w:marTop w:val="0"/>
          <w:marBottom w:val="0"/>
          <w:divBdr>
            <w:top w:val="none" w:sz="0" w:space="0" w:color="auto"/>
            <w:left w:val="none" w:sz="0" w:space="0" w:color="auto"/>
            <w:bottom w:val="none" w:sz="0" w:space="0" w:color="auto"/>
            <w:right w:val="none" w:sz="0" w:space="0" w:color="auto"/>
          </w:divBdr>
        </w:div>
        <w:div w:id="1491365097">
          <w:marLeft w:val="0"/>
          <w:marRight w:val="0"/>
          <w:marTop w:val="0"/>
          <w:marBottom w:val="0"/>
          <w:divBdr>
            <w:top w:val="none" w:sz="0" w:space="0" w:color="auto"/>
            <w:left w:val="none" w:sz="0" w:space="0" w:color="auto"/>
            <w:bottom w:val="none" w:sz="0" w:space="0" w:color="auto"/>
            <w:right w:val="none" w:sz="0" w:space="0" w:color="auto"/>
          </w:divBdr>
        </w:div>
        <w:div w:id="1082290294">
          <w:marLeft w:val="0"/>
          <w:marRight w:val="0"/>
          <w:marTop w:val="0"/>
          <w:marBottom w:val="0"/>
          <w:divBdr>
            <w:top w:val="none" w:sz="0" w:space="0" w:color="auto"/>
            <w:left w:val="none" w:sz="0" w:space="0" w:color="auto"/>
            <w:bottom w:val="none" w:sz="0" w:space="0" w:color="auto"/>
            <w:right w:val="none" w:sz="0" w:space="0" w:color="auto"/>
          </w:divBdr>
        </w:div>
        <w:div w:id="388960863">
          <w:marLeft w:val="0"/>
          <w:marRight w:val="0"/>
          <w:marTop w:val="0"/>
          <w:marBottom w:val="0"/>
          <w:divBdr>
            <w:top w:val="none" w:sz="0" w:space="0" w:color="auto"/>
            <w:left w:val="none" w:sz="0" w:space="0" w:color="auto"/>
            <w:bottom w:val="none" w:sz="0" w:space="0" w:color="auto"/>
            <w:right w:val="none" w:sz="0" w:space="0" w:color="auto"/>
          </w:divBdr>
        </w:div>
        <w:div w:id="1511682792">
          <w:marLeft w:val="0"/>
          <w:marRight w:val="0"/>
          <w:marTop w:val="0"/>
          <w:marBottom w:val="0"/>
          <w:divBdr>
            <w:top w:val="none" w:sz="0" w:space="0" w:color="auto"/>
            <w:left w:val="none" w:sz="0" w:space="0" w:color="auto"/>
            <w:bottom w:val="none" w:sz="0" w:space="0" w:color="auto"/>
            <w:right w:val="none" w:sz="0" w:space="0" w:color="auto"/>
          </w:divBdr>
        </w:div>
        <w:div w:id="1224490470">
          <w:marLeft w:val="0"/>
          <w:marRight w:val="0"/>
          <w:marTop w:val="0"/>
          <w:marBottom w:val="0"/>
          <w:divBdr>
            <w:top w:val="none" w:sz="0" w:space="0" w:color="auto"/>
            <w:left w:val="none" w:sz="0" w:space="0" w:color="auto"/>
            <w:bottom w:val="none" w:sz="0" w:space="0" w:color="auto"/>
            <w:right w:val="none" w:sz="0" w:space="0" w:color="auto"/>
          </w:divBdr>
        </w:div>
      </w:divsChild>
    </w:div>
    <w:div w:id="1091437769">
      <w:bodyDiv w:val="1"/>
      <w:marLeft w:val="0"/>
      <w:marRight w:val="0"/>
      <w:marTop w:val="0"/>
      <w:marBottom w:val="0"/>
      <w:divBdr>
        <w:top w:val="none" w:sz="0" w:space="0" w:color="auto"/>
        <w:left w:val="none" w:sz="0" w:space="0" w:color="auto"/>
        <w:bottom w:val="none" w:sz="0" w:space="0" w:color="auto"/>
        <w:right w:val="none" w:sz="0" w:space="0" w:color="auto"/>
      </w:divBdr>
      <w:divsChild>
        <w:div w:id="1340618961">
          <w:marLeft w:val="0"/>
          <w:marRight w:val="0"/>
          <w:marTop w:val="0"/>
          <w:marBottom w:val="0"/>
          <w:divBdr>
            <w:top w:val="none" w:sz="0" w:space="0" w:color="auto"/>
            <w:left w:val="none" w:sz="0" w:space="0" w:color="auto"/>
            <w:bottom w:val="none" w:sz="0" w:space="0" w:color="auto"/>
            <w:right w:val="none" w:sz="0" w:space="0" w:color="auto"/>
          </w:divBdr>
        </w:div>
        <w:div w:id="950742149">
          <w:marLeft w:val="0"/>
          <w:marRight w:val="0"/>
          <w:marTop w:val="0"/>
          <w:marBottom w:val="0"/>
          <w:divBdr>
            <w:top w:val="none" w:sz="0" w:space="0" w:color="auto"/>
            <w:left w:val="none" w:sz="0" w:space="0" w:color="auto"/>
            <w:bottom w:val="none" w:sz="0" w:space="0" w:color="auto"/>
            <w:right w:val="none" w:sz="0" w:space="0" w:color="auto"/>
          </w:divBdr>
        </w:div>
        <w:div w:id="2049992367">
          <w:marLeft w:val="0"/>
          <w:marRight w:val="0"/>
          <w:marTop w:val="0"/>
          <w:marBottom w:val="0"/>
          <w:divBdr>
            <w:top w:val="none" w:sz="0" w:space="0" w:color="auto"/>
            <w:left w:val="none" w:sz="0" w:space="0" w:color="auto"/>
            <w:bottom w:val="none" w:sz="0" w:space="0" w:color="auto"/>
            <w:right w:val="none" w:sz="0" w:space="0" w:color="auto"/>
          </w:divBdr>
        </w:div>
        <w:div w:id="2001035385">
          <w:marLeft w:val="0"/>
          <w:marRight w:val="0"/>
          <w:marTop w:val="0"/>
          <w:marBottom w:val="0"/>
          <w:divBdr>
            <w:top w:val="none" w:sz="0" w:space="0" w:color="auto"/>
            <w:left w:val="none" w:sz="0" w:space="0" w:color="auto"/>
            <w:bottom w:val="none" w:sz="0" w:space="0" w:color="auto"/>
            <w:right w:val="none" w:sz="0" w:space="0" w:color="auto"/>
          </w:divBdr>
        </w:div>
        <w:div w:id="755055447">
          <w:marLeft w:val="0"/>
          <w:marRight w:val="0"/>
          <w:marTop w:val="0"/>
          <w:marBottom w:val="0"/>
          <w:divBdr>
            <w:top w:val="none" w:sz="0" w:space="0" w:color="auto"/>
            <w:left w:val="none" w:sz="0" w:space="0" w:color="auto"/>
            <w:bottom w:val="none" w:sz="0" w:space="0" w:color="auto"/>
            <w:right w:val="none" w:sz="0" w:space="0" w:color="auto"/>
          </w:divBdr>
        </w:div>
        <w:div w:id="124280160">
          <w:marLeft w:val="0"/>
          <w:marRight w:val="0"/>
          <w:marTop w:val="0"/>
          <w:marBottom w:val="0"/>
          <w:divBdr>
            <w:top w:val="none" w:sz="0" w:space="0" w:color="auto"/>
            <w:left w:val="none" w:sz="0" w:space="0" w:color="auto"/>
            <w:bottom w:val="none" w:sz="0" w:space="0" w:color="auto"/>
            <w:right w:val="none" w:sz="0" w:space="0" w:color="auto"/>
          </w:divBdr>
        </w:div>
        <w:div w:id="1238173687">
          <w:marLeft w:val="0"/>
          <w:marRight w:val="0"/>
          <w:marTop w:val="0"/>
          <w:marBottom w:val="0"/>
          <w:divBdr>
            <w:top w:val="none" w:sz="0" w:space="0" w:color="auto"/>
            <w:left w:val="none" w:sz="0" w:space="0" w:color="auto"/>
            <w:bottom w:val="none" w:sz="0" w:space="0" w:color="auto"/>
            <w:right w:val="none" w:sz="0" w:space="0" w:color="auto"/>
          </w:divBdr>
        </w:div>
        <w:div w:id="151335680">
          <w:marLeft w:val="0"/>
          <w:marRight w:val="0"/>
          <w:marTop w:val="0"/>
          <w:marBottom w:val="0"/>
          <w:divBdr>
            <w:top w:val="none" w:sz="0" w:space="0" w:color="auto"/>
            <w:left w:val="none" w:sz="0" w:space="0" w:color="auto"/>
            <w:bottom w:val="none" w:sz="0" w:space="0" w:color="auto"/>
            <w:right w:val="none" w:sz="0" w:space="0" w:color="auto"/>
          </w:divBdr>
        </w:div>
        <w:div w:id="201066007">
          <w:marLeft w:val="0"/>
          <w:marRight w:val="0"/>
          <w:marTop w:val="0"/>
          <w:marBottom w:val="0"/>
          <w:divBdr>
            <w:top w:val="none" w:sz="0" w:space="0" w:color="auto"/>
            <w:left w:val="none" w:sz="0" w:space="0" w:color="auto"/>
            <w:bottom w:val="none" w:sz="0" w:space="0" w:color="auto"/>
            <w:right w:val="none" w:sz="0" w:space="0" w:color="auto"/>
          </w:divBdr>
        </w:div>
        <w:div w:id="635379438">
          <w:marLeft w:val="0"/>
          <w:marRight w:val="0"/>
          <w:marTop w:val="0"/>
          <w:marBottom w:val="0"/>
          <w:divBdr>
            <w:top w:val="none" w:sz="0" w:space="0" w:color="auto"/>
            <w:left w:val="none" w:sz="0" w:space="0" w:color="auto"/>
            <w:bottom w:val="none" w:sz="0" w:space="0" w:color="auto"/>
            <w:right w:val="none" w:sz="0" w:space="0" w:color="auto"/>
          </w:divBdr>
        </w:div>
        <w:div w:id="396248321">
          <w:marLeft w:val="0"/>
          <w:marRight w:val="0"/>
          <w:marTop w:val="0"/>
          <w:marBottom w:val="0"/>
          <w:divBdr>
            <w:top w:val="none" w:sz="0" w:space="0" w:color="auto"/>
            <w:left w:val="none" w:sz="0" w:space="0" w:color="auto"/>
            <w:bottom w:val="none" w:sz="0" w:space="0" w:color="auto"/>
            <w:right w:val="none" w:sz="0" w:space="0" w:color="auto"/>
          </w:divBdr>
        </w:div>
        <w:div w:id="1123571565">
          <w:marLeft w:val="0"/>
          <w:marRight w:val="0"/>
          <w:marTop w:val="0"/>
          <w:marBottom w:val="0"/>
          <w:divBdr>
            <w:top w:val="none" w:sz="0" w:space="0" w:color="auto"/>
            <w:left w:val="none" w:sz="0" w:space="0" w:color="auto"/>
            <w:bottom w:val="none" w:sz="0" w:space="0" w:color="auto"/>
            <w:right w:val="none" w:sz="0" w:space="0" w:color="auto"/>
          </w:divBdr>
        </w:div>
        <w:div w:id="102727567">
          <w:marLeft w:val="0"/>
          <w:marRight w:val="0"/>
          <w:marTop w:val="0"/>
          <w:marBottom w:val="0"/>
          <w:divBdr>
            <w:top w:val="none" w:sz="0" w:space="0" w:color="auto"/>
            <w:left w:val="none" w:sz="0" w:space="0" w:color="auto"/>
            <w:bottom w:val="none" w:sz="0" w:space="0" w:color="auto"/>
            <w:right w:val="none" w:sz="0" w:space="0" w:color="auto"/>
          </w:divBdr>
        </w:div>
        <w:div w:id="1137339665">
          <w:marLeft w:val="0"/>
          <w:marRight w:val="0"/>
          <w:marTop w:val="0"/>
          <w:marBottom w:val="0"/>
          <w:divBdr>
            <w:top w:val="none" w:sz="0" w:space="0" w:color="auto"/>
            <w:left w:val="none" w:sz="0" w:space="0" w:color="auto"/>
            <w:bottom w:val="none" w:sz="0" w:space="0" w:color="auto"/>
            <w:right w:val="none" w:sz="0" w:space="0" w:color="auto"/>
          </w:divBdr>
        </w:div>
        <w:div w:id="1166749410">
          <w:marLeft w:val="0"/>
          <w:marRight w:val="0"/>
          <w:marTop w:val="0"/>
          <w:marBottom w:val="0"/>
          <w:divBdr>
            <w:top w:val="none" w:sz="0" w:space="0" w:color="auto"/>
            <w:left w:val="none" w:sz="0" w:space="0" w:color="auto"/>
            <w:bottom w:val="none" w:sz="0" w:space="0" w:color="auto"/>
            <w:right w:val="none" w:sz="0" w:space="0" w:color="auto"/>
          </w:divBdr>
        </w:div>
        <w:div w:id="677538817">
          <w:marLeft w:val="0"/>
          <w:marRight w:val="0"/>
          <w:marTop w:val="0"/>
          <w:marBottom w:val="0"/>
          <w:divBdr>
            <w:top w:val="none" w:sz="0" w:space="0" w:color="auto"/>
            <w:left w:val="none" w:sz="0" w:space="0" w:color="auto"/>
            <w:bottom w:val="none" w:sz="0" w:space="0" w:color="auto"/>
            <w:right w:val="none" w:sz="0" w:space="0" w:color="auto"/>
          </w:divBdr>
        </w:div>
        <w:div w:id="437412027">
          <w:marLeft w:val="0"/>
          <w:marRight w:val="0"/>
          <w:marTop w:val="0"/>
          <w:marBottom w:val="0"/>
          <w:divBdr>
            <w:top w:val="none" w:sz="0" w:space="0" w:color="auto"/>
            <w:left w:val="none" w:sz="0" w:space="0" w:color="auto"/>
            <w:bottom w:val="none" w:sz="0" w:space="0" w:color="auto"/>
            <w:right w:val="none" w:sz="0" w:space="0" w:color="auto"/>
          </w:divBdr>
        </w:div>
        <w:div w:id="77791301">
          <w:marLeft w:val="0"/>
          <w:marRight w:val="0"/>
          <w:marTop w:val="0"/>
          <w:marBottom w:val="0"/>
          <w:divBdr>
            <w:top w:val="none" w:sz="0" w:space="0" w:color="auto"/>
            <w:left w:val="none" w:sz="0" w:space="0" w:color="auto"/>
            <w:bottom w:val="none" w:sz="0" w:space="0" w:color="auto"/>
            <w:right w:val="none" w:sz="0" w:space="0" w:color="auto"/>
          </w:divBdr>
        </w:div>
        <w:div w:id="1433209731">
          <w:marLeft w:val="0"/>
          <w:marRight w:val="0"/>
          <w:marTop w:val="0"/>
          <w:marBottom w:val="0"/>
          <w:divBdr>
            <w:top w:val="none" w:sz="0" w:space="0" w:color="auto"/>
            <w:left w:val="none" w:sz="0" w:space="0" w:color="auto"/>
            <w:bottom w:val="none" w:sz="0" w:space="0" w:color="auto"/>
            <w:right w:val="none" w:sz="0" w:space="0" w:color="auto"/>
          </w:divBdr>
        </w:div>
        <w:div w:id="884802560">
          <w:marLeft w:val="0"/>
          <w:marRight w:val="0"/>
          <w:marTop w:val="0"/>
          <w:marBottom w:val="0"/>
          <w:divBdr>
            <w:top w:val="none" w:sz="0" w:space="0" w:color="auto"/>
            <w:left w:val="none" w:sz="0" w:space="0" w:color="auto"/>
            <w:bottom w:val="none" w:sz="0" w:space="0" w:color="auto"/>
            <w:right w:val="none" w:sz="0" w:space="0" w:color="auto"/>
          </w:divBdr>
        </w:div>
        <w:div w:id="1955287194">
          <w:marLeft w:val="0"/>
          <w:marRight w:val="0"/>
          <w:marTop w:val="0"/>
          <w:marBottom w:val="0"/>
          <w:divBdr>
            <w:top w:val="none" w:sz="0" w:space="0" w:color="auto"/>
            <w:left w:val="none" w:sz="0" w:space="0" w:color="auto"/>
            <w:bottom w:val="none" w:sz="0" w:space="0" w:color="auto"/>
            <w:right w:val="none" w:sz="0" w:space="0" w:color="auto"/>
          </w:divBdr>
        </w:div>
        <w:div w:id="1279021084">
          <w:marLeft w:val="0"/>
          <w:marRight w:val="0"/>
          <w:marTop w:val="0"/>
          <w:marBottom w:val="0"/>
          <w:divBdr>
            <w:top w:val="none" w:sz="0" w:space="0" w:color="auto"/>
            <w:left w:val="none" w:sz="0" w:space="0" w:color="auto"/>
            <w:bottom w:val="none" w:sz="0" w:space="0" w:color="auto"/>
            <w:right w:val="none" w:sz="0" w:space="0" w:color="auto"/>
          </w:divBdr>
        </w:div>
        <w:div w:id="1878155009">
          <w:marLeft w:val="0"/>
          <w:marRight w:val="0"/>
          <w:marTop w:val="0"/>
          <w:marBottom w:val="0"/>
          <w:divBdr>
            <w:top w:val="none" w:sz="0" w:space="0" w:color="auto"/>
            <w:left w:val="none" w:sz="0" w:space="0" w:color="auto"/>
            <w:bottom w:val="none" w:sz="0" w:space="0" w:color="auto"/>
            <w:right w:val="none" w:sz="0" w:space="0" w:color="auto"/>
          </w:divBdr>
        </w:div>
        <w:div w:id="1238445116">
          <w:marLeft w:val="0"/>
          <w:marRight w:val="0"/>
          <w:marTop w:val="0"/>
          <w:marBottom w:val="0"/>
          <w:divBdr>
            <w:top w:val="none" w:sz="0" w:space="0" w:color="auto"/>
            <w:left w:val="none" w:sz="0" w:space="0" w:color="auto"/>
            <w:bottom w:val="none" w:sz="0" w:space="0" w:color="auto"/>
            <w:right w:val="none" w:sz="0" w:space="0" w:color="auto"/>
          </w:divBdr>
        </w:div>
        <w:div w:id="311299359">
          <w:marLeft w:val="0"/>
          <w:marRight w:val="0"/>
          <w:marTop w:val="0"/>
          <w:marBottom w:val="0"/>
          <w:divBdr>
            <w:top w:val="none" w:sz="0" w:space="0" w:color="auto"/>
            <w:left w:val="none" w:sz="0" w:space="0" w:color="auto"/>
            <w:bottom w:val="none" w:sz="0" w:space="0" w:color="auto"/>
            <w:right w:val="none" w:sz="0" w:space="0" w:color="auto"/>
          </w:divBdr>
        </w:div>
        <w:div w:id="2074233519">
          <w:marLeft w:val="0"/>
          <w:marRight w:val="0"/>
          <w:marTop w:val="0"/>
          <w:marBottom w:val="0"/>
          <w:divBdr>
            <w:top w:val="none" w:sz="0" w:space="0" w:color="auto"/>
            <w:left w:val="none" w:sz="0" w:space="0" w:color="auto"/>
            <w:bottom w:val="none" w:sz="0" w:space="0" w:color="auto"/>
            <w:right w:val="none" w:sz="0" w:space="0" w:color="auto"/>
          </w:divBdr>
        </w:div>
      </w:divsChild>
    </w:div>
    <w:div w:id="1165433710">
      <w:bodyDiv w:val="1"/>
      <w:marLeft w:val="0"/>
      <w:marRight w:val="0"/>
      <w:marTop w:val="0"/>
      <w:marBottom w:val="0"/>
      <w:divBdr>
        <w:top w:val="none" w:sz="0" w:space="0" w:color="auto"/>
        <w:left w:val="none" w:sz="0" w:space="0" w:color="auto"/>
        <w:bottom w:val="none" w:sz="0" w:space="0" w:color="auto"/>
        <w:right w:val="none" w:sz="0" w:space="0" w:color="auto"/>
      </w:divBdr>
    </w:div>
    <w:div w:id="1302151596">
      <w:bodyDiv w:val="1"/>
      <w:marLeft w:val="0"/>
      <w:marRight w:val="0"/>
      <w:marTop w:val="0"/>
      <w:marBottom w:val="0"/>
      <w:divBdr>
        <w:top w:val="none" w:sz="0" w:space="0" w:color="auto"/>
        <w:left w:val="none" w:sz="0" w:space="0" w:color="auto"/>
        <w:bottom w:val="none" w:sz="0" w:space="0" w:color="auto"/>
        <w:right w:val="none" w:sz="0" w:space="0" w:color="auto"/>
      </w:divBdr>
      <w:divsChild>
        <w:div w:id="1286279721">
          <w:marLeft w:val="0"/>
          <w:marRight w:val="0"/>
          <w:marTop w:val="0"/>
          <w:marBottom w:val="0"/>
          <w:divBdr>
            <w:top w:val="none" w:sz="0" w:space="0" w:color="auto"/>
            <w:left w:val="none" w:sz="0" w:space="0" w:color="auto"/>
            <w:bottom w:val="none" w:sz="0" w:space="0" w:color="auto"/>
            <w:right w:val="none" w:sz="0" w:space="0" w:color="auto"/>
          </w:divBdr>
        </w:div>
        <w:div w:id="1037975152">
          <w:marLeft w:val="0"/>
          <w:marRight w:val="0"/>
          <w:marTop w:val="0"/>
          <w:marBottom w:val="0"/>
          <w:divBdr>
            <w:top w:val="none" w:sz="0" w:space="0" w:color="auto"/>
            <w:left w:val="none" w:sz="0" w:space="0" w:color="auto"/>
            <w:bottom w:val="none" w:sz="0" w:space="0" w:color="auto"/>
            <w:right w:val="none" w:sz="0" w:space="0" w:color="auto"/>
          </w:divBdr>
        </w:div>
        <w:div w:id="1836797921">
          <w:marLeft w:val="0"/>
          <w:marRight w:val="0"/>
          <w:marTop w:val="0"/>
          <w:marBottom w:val="0"/>
          <w:divBdr>
            <w:top w:val="none" w:sz="0" w:space="0" w:color="auto"/>
            <w:left w:val="none" w:sz="0" w:space="0" w:color="auto"/>
            <w:bottom w:val="none" w:sz="0" w:space="0" w:color="auto"/>
            <w:right w:val="none" w:sz="0" w:space="0" w:color="auto"/>
          </w:divBdr>
        </w:div>
        <w:div w:id="67073721">
          <w:marLeft w:val="0"/>
          <w:marRight w:val="0"/>
          <w:marTop w:val="0"/>
          <w:marBottom w:val="0"/>
          <w:divBdr>
            <w:top w:val="none" w:sz="0" w:space="0" w:color="auto"/>
            <w:left w:val="none" w:sz="0" w:space="0" w:color="auto"/>
            <w:bottom w:val="none" w:sz="0" w:space="0" w:color="auto"/>
            <w:right w:val="none" w:sz="0" w:space="0" w:color="auto"/>
          </w:divBdr>
        </w:div>
      </w:divsChild>
    </w:div>
    <w:div w:id="1361055979">
      <w:bodyDiv w:val="1"/>
      <w:marLeft w:val="0"/>
      <w:marRight w:val="0"/>
      <w:marTop w:val="0"/>
      <w:marBottom w:val="0"/>
      <w:divBdr>
        <w:top w:val="none" w:sz="0" w:space="0" w:color="auto"/>
        <w:left w:val="none" w:sz="0" w:space="0" w:color="auto"/>
        <w:bottom w:val="none" w:sz="0" w:space="0" w:color="auto"/>
        <w:right w:val="none" w:sz="0" w:space="0" w:color="auto"/>
      </w:divBdr>
      <w:divsChild>
        <w:div w:id="317538039">
          <w:marLeft w:val="1008"/>
          <w:marRight w:val="0"/>
          <w:marTop w:val="96"/>
          <w:marBottom w:val="0"/>
          <w:divBdr>
            <w:top w:val="none" w:sz="0" w:space="0" w:color="auto"/>
            <w:left w:val="none" w:sz="0" w:space="0" w:color="auto"/>
            <w:bottom w:val="none" w:sz="0" w:space="0" w:color="auto"/>
            <w:right w:val="none" w:sz="0" w:space="0" w:color="auto"/>
          </w:divBdr>
        </w:div>
        <w:div w:id="190455306">
          <w:marLeft w:val="1008"/>
          <w:marRight w:val="0"/>
          <w:marTop w:val="96"/>
          <w:marBottom w:val="0"/>
          <w:divBdr>
            <w:top w:val="none" w:sz="0" w:space="0" w:color="auto"/>
            <w:left w:val="none" w:sz="0" w:space="0" w:color="auto"/>
            <w:bottom w:val="none" w:sz="0" w:space="0" w:color="auto"/>
            <w:right w:val="none" w:sz="0" w:space="0" w:color="auto"/>
          </w:divBdr>
        </w:div>
        <w:div w:id="996612086">
          <w:marLeft w:val="1008"/>
          <w:marRight w:val="0"/>
          <w:marTop w:val="96"/>
          <w:marBottom w:val="0"/>
          <w:divBdr>
            <w:top w:val="none" w:sz="0" w:space="0" w:color="auto"/>
            <w:left w:val="none" w:sz="0" w:space="0" w:color="auto"/>
            <w:bottom w:val="none" w:sz="0" w:space="0" w:color="auto"/>
            <w:right w:val="none" w:sz="0" w:space="0" w:color="auto"/>
          </w:divBdr>
        </w:div>
      </w:divsChild>
    </w:div>
    <w:div w:id="1440754661">
      <w:bodyDiv w:val="1"/>
      <w:marLeft w:val="0"/>
      <w:marRight w:val="0"/>
      <w:marTop w:val="0"/>
      <w:marBottom w:val="0"/>
      <w:divBdr>
        <w:top w:val="none" w:sz="0" w:space="0" w:color="auto"/>
        <w:left w:val="none" w:sz="0" w:space="0" w:color="auto"/>
        <w:bottom w:val="none" w:sz="0" w:space="0" w:color="auto"/>
        <w:right w:val="none" w:sz="0" w:space="0" w:color="auto"/>
      </w:divBdr>
      <w:divsChild>
        <w:div w:id="1247618796">
          <w:marLeft w:val="547"/>
          <w:marRight w:val="0"/>
          <w:marTop w:val="106"/>
          <w:marBottom w:val="0"/>
          <w:divBdr>
            <w:top w:val="none" w:sz="0" w:space="0" w:color="auto"/>
            <w:left w:val="none" w:sz="0" w:space="0" w:color="auto"/>
            <w:bottom w:val="none" w:sz="0" w:space="0" w:color="auto"/>
            <w:right w:val="none" w:sz="0" w:space="0" w:color="auto"/>
          </w:divBdr>
        </w:div>
        <w:div w:id="2025475403">
          <w:marLeft w:val="1008"/>
          <w:marRight w:val="0"/>
          <w:marTop w:val="96"/>
          <w:marBottom w:val="0"/>
          <w:divBdr>
            <w:top w:val="none" w:sz="0" w:space="0" w:color="auto"/>
            <w:left w:val="none" w:sz="0" w:space="0" w:color="auto"/>
            <w:bottom w:val="none" w:sz="0" w:space="0" w:color="auto"/>
            <w:right w:val="none" w:sz="0" w:space="0" w:color="auto"/>
          </w:divBdr>
        </w:div>
        <w:div w:id="1587110802">
          <w:marLeft w:val="1008"/>
          <w:marRight w:val="0"/>
          <w:marTop w:val="96"/>
          <w:marBottom w:val="0"/>
          <w:divBdr>
            <w:top w:val="none" w:sz="0" w:space="0" w:color="auto"/>
            <w:left w:val="none" w:sz="0" w:space="0" w:color="auto"/>
            <w:bottom w:val="none" w:sz="0" w:space="0" w:color="auto"/>
            <w:right w:val="none" w:sz="0" w:space="0" w:color="auto"/>
          </w:divBdr>
        </w:div>
        <w:div w:id="492140364">
          <w:marLeft w:val="1008"/>
          <w:marRight w:val="0"/>
          <w:marTop w:val="96"/>
          <w:marBottom w:val="0"/>
          <w:divBdr>
            <w:top w:val="none" w:sz="0" w:space="0" w:color="auto"/>
            <w:left w:val="none" w:sz="0" w:space="0" w:color="auto"/>
            <w:bottom w:val="none" w:sz="0" w:space="0" w:color="auto"/>
            <w:right w:val="none" w:sz="0" w:space="0" w:color="auto"/>
          </w:divBdr>
        </w:div>
      </w:divsChild>
    </w:div>
    <w:div w:id="1508248602">
      <w:bodyDiv w:val="1"/>
      <w:marLeft w:val="0"/>
      <w:marRight w:val="0"/>
      <w:marTop w:val="0"/>
      <w:marBottom w:val="0"/>
      <w:divBdr>
        <w:top w:val="none" w:sz="0" w:space="0" w:color="auto"/>
        <w:left w:val="none" w:sz="0" w:space="0" w:color="auto"/>
        <w:bottom w:val="none" w:sz="0" w:space="0" w:color="auto"/>
        <w:right w:val="none" w:sz="0" w:space="0" w:color="auto"/>
      </w:divBdr>
      <w:divsChild>
        <w:div w:id="1877425907">
          <w:marLeft w:val="446"/>
          <w:marRight w:val="0"/>
          <w:marTop w:val="200"/>
          <w:marBottom w:val="0"/>
          <w:divBdr>
            <w:top w:val="none" w:sz="0" w:space="0" w:color="auto"/>
            <w:left w:val="none" w:sz="0" w:space="0" w:color="auto"/>
            <w:bottom w:val="none" w:sz="0" w:space="0" w:color="auto"/>
            <w:right w:val="none" w:sz="0" w:space="0" w:color="auto"/>
          </w:divBdr>
        </w:div>
        <w:div w:id="35276926">
          <w:marLeft w:val="1166"/>
          <w:marRight w:val="0"/>
          <w:marTop w:val="100"/>
          <w:marBottom w:val="0"/>
          <w:divBdr>
            <w:top w:val="none" w:sz="0" w:space="0" w:color="auto"/>
            <w:left w:val="none" w:sz="0" w:space="0" w:color="auto"/>
            <w:bottom w:val="none" w:sz="0" w:space="0" w:color="auto"/>
            <w:right w:val="none" w:sz="0" w:space="0" w:color="auto"/>
          </w:divBdr>
        </w:div>
        <w:div w:id="1993094706">
          <w:marLeft w:val="1166"/>
          <w:marRight w:val="0"/>
          <w:marTop w:val="100"/>
          <w:marBottom w:val="0"/>
          <w:divBdr>
            <w:top w:val="none" w:sz="0" w:space="0" w:color="auto"/>
            <w:left w:val="none" w:sz="0" w:space="0" w:color="auto"/>
            <w:bottom w:val="none" w:sz="0" w:space="0" w:color="auto"/>
            <w:right w:val="none" w:sz="0" w:space="0" w:color="auto"/>
          </w:divBdr>
        </w:div>
        <w:div w:id="91051933">
          <w:marLeft w:val="446"/>
          <w:marRight w:val="0"/>
          <w:marTop w:val="200"/>
          <w:marBottom w:val="0"/>
          <w:divBdr>
            <w:top w:val="none" w:sz="0" w:space="0" w:color="auto"/>
            <w:left w:val="none" w:sz="0" w:space="0" w:color="auto"/>
            <w:bottom w:val="none" w:sz="0" w:space="0" w:color="auto"/>
            <w:right w:val="none" w:sz="0" w:space="0" w:color="auto"/>
          </w:divBdr>
        </w:div>
        <w:div w:id="1391078650">
          <w:marLeft w:val="446"/>
          <w:marRight w:val="0"/>
          <w:marTop w:val="200"/>
          <w:marBottom w:val="0"/>
          <w:divBdr>
            <w:top w:val="none" w:sz="0" w:space="0" w:color="auto"/>
            <w:left w:val="none" w:sz="0" w:space="0" w:color="auto"/>
            <w:bottom w:val="none" w:sz="0" w:space="0" w:color="auto"/>
            <w:right w:val="none" w:sz="0" w:space="0" w:color="auto"/>
          </w:divBdr>
        </w:div>
        <w:div w:id="36248904">
          <w:marLeft w:val="446"/>
          <w:marRight w:val="0"/>
          <w:marTop w:val="200"/>
          <w:marBottom w:val="0"/>
          <w:divBdr>
            <w:top w:val="none" w:sz="0" w:space="0" w:color="auto"/>
            <w:left w:val="none" w:sz="0" w:space="0" w:color="auto"/>
            <w:bottom w:val="none" w:sz="0" w:space="0" w:color="auto"/>
            <w:right w:val="none" w:sz="0" w:space="0" w:color="auto"/>
          </w:divBdr>
        </w:div>
        <w:div w:id="734427854">
          <w:marLeft w:val="446"/>
          <w:marRight w:val="0"/>
          <w:marTop w:val="200"/>
          <w:marBottom w:val="0"/>
          <w:divBdr>
            <w:top w:val="none" w:sz="0" w:space="0" w:color="auto"/>
            <w:left w:val="none" w:sz="0" w:space="0" w:color="auto"/>
            <w:bottom w:val="none" w:sz="0" w:space="0" w:color="auto"/>
            <w:right w:val="none" w:sz="0" w:space="0" w:color="auto"/>
          </w:divBdr>
        </w:div>
      </w:divsChild>
    </w:div>
    <w:div w:id="1956133597">
      <w:bodyDiv w:val="1"/>
      <w:marLeft w:val="0"/>
      <w:marRight w:val="0"/>
      <w:marTop w:val="0"/>
      <w:marBottom w:val="0"/>
      <w:divBdr>
        <w:top w:val="none" w:sz="0" w:space="0" w:color="auto"/>
        <w:left w:val="none" w:sz="0" w:space="0" w:color="auto"/>
        <w:bottom w:val="none" w:sz="0" w:space="0" w:color="auto"/>
        <w:right w:val="none" w:sz="0" w:space="0" w:color="auto"/>
      </w:divBdr>
    </w:div>
    <w:div w:id="1994406735">
      <w:bodyDiv w:val="1"/>
      <w:marLeft w:val="0"/>
      <w:marRight w:val="0"/>
      <w:marTop w:val="0"/>
      <w:marBottom w:val="0"/>
      <w:divBdr>
        <w:top w:val="none" w:sz="0" w:space="0" w:color="auto"/>
        <w:left w:val="none" w:sz="0" w:space="0" w:color="auto"/>
        <w:bottom w:val="none" w:sz="0" w:space="0" w:color="auto"/>
        <w:right w:val="none" w:sz="0" w:space="0" w:color="auto"/>
      </w:divBdr>
    </w:div>
    <w:div w:id="2064060215">
      <w:bodyDiv w:val="1"/>
      <w:marLeft w:val="0"/>
      <w:marRight w:val="0"/>
      <w:marTop w:val="0"/>
      <w:marBottom w:val="0"/>
      <w:divBdr>
        <w:top w:val="none" w:sz="0" w:space="0" w:color="auto"/>
        <w:left w:val="none" w:sz="0" w:space="0" w:color="auto"/>
        <w:bottom w:val="none" w:sz="0" w:space="0" w:color="auto"/>
        <w:right w:val="none" w:sz="0" w:space="0" w:color="auto"/>
      </w:divBdr>
      <w:divsChild>
        <w:div w:id="1295334864">
          <w:marLeft w:val="1800"/>
          <w:marRight w:val="0"/>
          <w:marTop w:val="0"/>
          <w:marBottom w:val="0"/>
          <w:divBdr>
            <w:top w:val="none" w:sz="0" w:space="0" w:color="auto"/>
            <w:left w:val="none" w:sz="0" w:space="0" w:color="auto"/>
            <w:bottom w:val="none" w:sz="0" w:space="0" w:color="auto"/>
            <w:right w:val="none" w:sz="0" w:space="0" w:color="auto"/>
          </w:divBdr>
        </w:div>
      </w:divsChild>
    </w:div>
    <w:div w:id="2085761218">
      <w:bodyDiv w:val="1"/>
      <w:marLeft w:val="0"/>
      <w:marRight w:val="0"/>
      <w:marTop w:val="0"/>
      <w:marBottom w:val="0"/>
      <w:divBdr>
        <w:top w:val="none" w:sz="0" w:space="0" w:color="auto"/>
        <w:left w:val="none" w:sz="0" w:space="0" w:color="auto"/>
        <w:bottom w:val="none" w:sz="0" w:space="0" w:color="auto"/>
        <w:right w:val="none" w:sz="0" w:space="0" w:color="auto"/>
      </w:divBdr>
      <w:divsChild>
        <w:div w:id="1474832058">
          <w:marLeft w:val="1080"/>
          <w:marRight w:val="0"/>
          <w:marTop w:val="200"/>
          <w:marBottom w:val="0"/>
          <w:divBdr>
            <w:top w:val="none" w:sz="0" w:space="0" w:color="auto"/>
            <w:left w:val="none" w:sz="0" w:space="0" w:color="auto"/>
            <w:bottom w:val="none" w:sz="0" w:space="0" w:color="auto"/>
            <w:right w:val="none" w:sz="0" w:space="0" w:color="auto"/>
          </w:divBdr>
        </w:div>
        <w:div w:id="92749834">
          <w:marLeft w:val="1080"/>
          <w:marRight w:val="0"/>
          <w:marTop w:val="200"/>
          <w:marBottom w:val="0"/>
          <w:divBdr>
            <w:top w:val="none" w:sz="0" w:space="0" w:color="auto"/>
            <w:left w:val="none" w:sz="0" w:space="0" w:color="auto"/>
            <w:bottom w:val="none" w:sz="0" w:space="0" w:color="auto"/>
            <w:right w:val="none" w:sz="0" w:space="0" w:color="auto"/>
          </w:divBdr>
        </w:div>
        <w:div w:id="1797723040">
          <w:marLeft w:val="1080"/>
          <w:marRight w:val="0"/>
          <w:marTop w:val="200"/>
          <w:marBottom w:val="0"/>
          <w:divBdr>
            <w:top w:val="none" w:sz="0" w:space="0" w:color="auto"/>
            <w:left w:val="none" w:sz="0" w:space="0" w:color="auto"/>
            <w:bottom w:val="none" w:sz="0" w:space="0" w:color="auto"/>
            <w:right w:val="none" w:sz="0" w:space="0" w:color="auto"/>
          </w:divBdr>
        </w:div>
      </w:divsChild>
    </w:div>
    <w:div w:id="2114932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vibe.cira.colostate.edu/wiki/Attachments/Modeling/FINAL_Recommended_PGM_MPE_Analyses_WSAQS_v08172015.pdf" TargetMode="External"/><Relationship Id="rId2" Type="http://schemas.openxmlformats.org/officeDocument/2006/relationships/hyperlink" Target="http://views.cira.colostate.edu/tsdw/Resources/project_documents/Intermountain%20West%20MOU.pdf" TargetMode="External"/><Relationship Id="rId1" Type="http://schemas.openxmlformats.org/officeDocument/2006/relationships/hyperlink" Target="http://views.cira.colostate.edu/tsdw/Resources/project_documents/MOU3State.pdf" TargetMode="External"/><Relationship Id="rId6" Type="http://schemas.openxmlformats.org/officeDocument/2006/relationships/hyperlink" Target="http://views.cira.colostate.edu/TSDW/Resources/ProceduralDocuments/FINAL_NEPA_IWDW_Process_Outline_Sept19_2016.pdf" TargetMode="External"/><Relationship Id="rId5" Type="http://schemas.openxmlformats.org/officeDocument/2006/relationships/hyperlink" Target="javascript:gtd('http://views.cira.colostate.edu/wiki/Attachments/Modeling/WAQS_2014_WRF_Modeling_Protocol_Final_04Sep2015.pdf');" TargetMode="External"/><Relationship Id="rId4" Type="http://schemas.openxmlformats.org/officeDocument/2006/relationships/hyperlink" Target="http://vibe.cira.colostate.edu/wiki/Attachments/Modeling/FINAL_Recommended_PGM_MPE_Analyses_WSAQS_v08172015.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F70C12-92DC-4E46-8CC4-6D6728834B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8146</Words>
  <Characters>46436</Characters>
  <Application>Microsoft Office Word</Application>
  <DocSecurity>0</DocSecurity>
  <Lines>386</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2021-09-23T16:10:00Z</dcterms:created>
  <dcterms:modified xsi:type="dcterms:W3CDTF">2021-09-23T16:10:00Z</dcterms:modified>
</cp:coreProperties>
</file>