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C2" w:rsidRDefault="00BF07D2" w:rsidP="004D43C2">
      <w:pPr>
        <w:pStyle w:val="ReportHeading2"/>
      </w:pPr>
      <w:r>
        <w:t>3-States Air Quality Study Network Evaluation</w:t>
      </w:r>
      <w:r w:rsidR="004D43C2">
        <w:t xml:space="preserve">: </w:t>
      </w:r>
    </w:p>
    <w:p w:rsidR="00BF07D2" w:rsidRDefault="00BF07D2" w:rsidP="004D43C2">
      <w:pPr>
        <w:pStyle w:val="ReportHeading2"/>
      </w:pPr>
      <w:r>
        <w:t xml:space="preserve">Summary of 31 January 2014 </w:t>
      </w:r>
      <w:r w:rsidR="004D43C2">
        <w:t xml:space="preserve">WOrking Group </w:t>
      </w:r>
      <w:r>
        <w:t>Conference Call</w:t>
      </w:r>
    </w:p>
    <w:p w:rsidR="004D43C2" w:rsidRDefault="004D43C2">
      <w:pPr>
        <w:rPr>
          <w:sz w:val="24"/>
          <w:szCs w:val="24"/>
        </w:rPr>
      </w:pPr>
    </w:p>
    <w:p w:rsidR="004D73DC" w:rsidRDefault="00BF07D2">
      <w:pPr>
        <w:rPr>
          <w:sz w:val="24"/>
          <w:szCs w:val="24"/>
        </w:rPr>
      </w:pPr>
      <w:r>
        <w:rPr>
          <w:sz w:val="24"/>
          <w:szCs w:val="24"/>
        </w:rPr>
        <w:t>Representatives from CDPHE, UDAQ, WYDEQ, WY BLM, UT BLM, USFS, NPS and U.S. EPA attended the call</w:t>
      </w:r>
      <w:r w:rsidR="000C2178">
        <w:rPr>
          <w:sz w:val="24"/>
          <w:szCs w:val="24"/>
        </w:rPr>
        <w:t xml:space="preserve"> (see table below)</w:t>
      </w:r>
      <w:r w:rsidR="00BC7DEA">
        <w:rPr>
          <w:sz w:val="24"/>
          <w:szCs w:val="24"/>
        </w:rPr>
        <w:t xml:space="preserve"> along with Tom Moore and Till Stoeckenius</w:t>
      </w:r>
      <w:r>
        <w:rPr>
          <w:sz w:val="24"/>
          <w:szCs w:val="24"/>
        </w:rPr>
        <w:t xml:space="preserve">.  The discussion focused on incorporation of new information gathered since last week’s call into a set of draft </w:t>
      </w:r>
      <w:r w:rsidR="00BC7DEA">
        <w:rPr>
          <w:sz w:val="24"/>
          <w:szCs w:val="24"/>
        </w:rPr>
        <w:t xml:space="preserve">3-State Air Quality Study (3SAQS) network configuration and funding </w:t>
      </w:r>
      <w:r>
        <w:rPr>
          <w:sz w:val="24"/>
          <w:szCs w:val="24"/>
        </w:rPr>
        <w:t xml:space="preserve">recommendations to be delivered to the 3SAQS Steering Committee </w:t>
      </w:r>
      <w:r w:rsidR="00353EC8">
        <w:rPr>
          <w:sz w:val="24"/>
          <w:szCs w:val="24"/>
        </w:rPr>
        <w:t>by 21</w:t>
      </w:r>
      <w:r>
        <w:rPr>
          <w:sz w:val="24"/>
          <w:szCs w:val="24"/>
        </w:rPr>
        <w:t xml:space="preserve"> February. </w:t>
      </w:r>
      <w:r w:rsidR="00353EC8">
        <w:rPr>
          <w:sz w:val="24"/>
          <w:szCs w:val="24"/>
        </w:rPr>
        <w:t xml:space="preserve"> </w:t>
      </w:r>
    </w:p>
    <w:p w:rsidR="00353EC8" w:rsidRPr="004D73DC" w:rsidRDefault="004D73DC" w:rsidP="004D73DC">
      <w:pPr>
        <w:ind w:left="720"/>
        <w:rPr>
          <w:i/>
          <w:sz w:val="24"/>
          <w:szCs w:val="24"/>
        </w:rPr>
      </w:pPr>
      <w:r w:rsidRPr="004D73DC">
        <w:rPr>
          <w:i/>
          <w:sz w:val="24"/>
          <w:szCs w:val="24"/>
        </w:rPr>
        <w:t xml:space="preserve">Till will prepare a draft of the recommendations to be given to the Steering Committee over the next week and send it out to the Working Group for comment.  We will then convene a follow-up conference call with the Working Group at 12:30 MST on 11 February to discuss the draft recommendations.  </w:t>
      </w:r>
    </w:p>
    <w:p w:rsidR="00661168" w:rsidRPr="00661168" w:rsidRDefault="00661168" w:rsidP="00661168">
      <w:pPr>
        <w:spacing w:after="0"/>
        <w:rPr>
          <w:b/>
          <w:sz w:val="24"/>
          <w:szCs w:val="24"/>
        </w:rPr>
      </w:pPr>
      <w:r w:rsidRPr="00661168">
        <w:rPr>
          <w:b/>
          <w:sz w:val="24"/>
          <w:szCs w:val="24"/>
        </w:rPr>
        <w:t>31 January 2014 Call Participants</w:t>
      </w:r>
    </w:p>
    <w:tbl>
      <w:tblPr>
        <w:tblStyle w:val="TableGrid"/>
        <w:tblW w:w="0" w:type="auto"/>
        <w:tblLook w:val="04A0" w:firstRow="1" w:lastRow="0" w:firstColumn="1" w:lastColumn="0" w:noHBand="0" w:noVBand="1"/>
      </w:tblPr>
      <w:tblGrid>
        <w:gridCol w:w="5598"/>
        <w:gridCol w:w="3978"/>
      </w:tblGrid>
      <w:tr w:rsidR="000C2178" w:rsidTr="00BC7DEA">
        <w:tc>
          <w:tcPr>
            <w:tcW w:w="5598" w:type="dxa"/>
          </w:tcPr>
          <w:p w:rsidR="000C2178" w:rsidRDefault="000C2178">
            <w:pPr>
              <w:rPr>
                <w:sz w:val="24"/>
                <w:szCs w:val="24"/>
              </w:rPr>
            </w:pPr>
            <w:r>
              <w:rPr>
                <w:sz w:val="24"/>
                <w:szCs w:val="24"/>
              </w:rPr>
              <w:t>Colorado Dept. of Health and Environment (CDPHE)</w:t>
            </w:r>
          </w:p>
        </w:tc>
        <w:tc>
          <w:tcPr>
            <w:tcW w:w="3978" w:type="dxa"/>
          </w:tcPr>
          <w:p w:rsidR="000C2178" w:rsidRDefault="000C2178">
            <w:pPr>
              <w:rPr>
                <w:sz w:val="24"/>
                <w:szCs w:val="24"/>
              </w:rPr>
            </w:pPr>
            <w:r>
              <w:rPr>
                <w:sz w:val="24"/>
                <w:szCs w:val="24"/>
              </w:rPr>
              <w:t>Gordon Pierce</w:t>
            </w:r>
          </w:p>
          <w:p w:rsidR="000C2178" w:rsidRDefault="000C2178">
            <w:pPr>
              <w:rPr>
                <w:sz w:val="24"/>
                <w:szCs w:val="24"/>
              </w:rPr>
            </w:pPr>
            <w:r>
              <w:rPr>
                <w:sz w:val="24"/>
                <w:szCs w:val="24"/>
              </w:rPr>
              <w:t xml:space="preserve">Greg </w:t>
            </w:r>
            <w:proofErr w:type="spellStart"/>
            <w:r>
              <w:rPr>
                <w:sz w:val="24"/>
                <w:szCs w:val="24"/>
              </w:rPr>
              <w:t>H</w:t>
            </w:r>
            <w:r w:rsidR="00BC7DEA">
              <w:rPr>
                <w:sz w:val="24"/>
                <w:szCs w:val="24"/>
              </w:rPr>
              <w:t>arshfield</w:t>
            </w:r>
            <w:proofErr w:type="spellEnd"/>
          </w:p>
        </w:tc>
      </w:tr>
      <w:tr w:rsidR="000C2178" w:rsidTr="00BC7DEA">
        <w:tc>
          <w:tcPr>
            <w:tcW w:w="5598" w:type="dxa"/>
          </w:tcPr>
          <w:p w:rsidR="000C2178" w:rsidRDefault="00BC7DEA">
            <w:pPr>
              <w:rPr>
                <w:sz w:val="24"/>
                <w:szCs w:val="24"/>
              </w:rPr>
            </w:pPr>
            <w:r>
              <w:rPr>
                <w:sz w:val="24"/>
                <w:szCs w:val="24"/>
              </w:rPr>
              <w:t>U.S. Environmental Protection  Agency (EPA)</w:t>
            </w:r>
          </w:p>
        </w:tc>
        <w:tc>
          <w:tcPr>
            <w:tcW w:w="3978" w:type="dxa"/>
          </w:tcPr>
          <w:p w:rsidR="00BC7DEA" w:rsidRDefault="00BC7DEA">
            <w:pPr>
              <w:rPr>
                <w:sz w:val="24"/>
                <w:szCs w:val="24"/>
              </w:rPr>
            </w:pPr>
            <w:r>
              <w:rPr>
                <w:sz w:val="24"/>
                <w:szCs w:val="24"/>
              </w:rPr>
              <w:t>Gail Tonnesen</w:t>
            </w:r>
          </w:p>
          <w:p w:rsidR="000C2178" w:rsidRDefault="00BC7DEA">
            <w:pPr>
              <w:rPr>
                <w:sz w:val="24"/>
                <w:szCs w:val="24"/>
              </w:rPr>
            </w:pPr>
            <w:r>
              <w:rPr>
                <w:sz w:val="24"/>
                <w:szCs w:val="24"/>
              </w:rPr>
              <w:t xml:space="preserve">Rebecca </w:t>
            </w:r>
            <w:proofErr w:type="spellStart"/>
            <w:r>
              <w:rPr>
                <w:sz w:val="24"/>
                <w:szCs w:val="24"/>
              </w:rPr>
              <w:t>Matichuk</w:t>
            </w:r>
            <w:proofErr w:type="spellEnd"/>
          </w:p>
        </w:tc>
      </w:tr>
      <w:tr w:rsidR="00BC7DEA" w:rsidTr="00BC7DEA">
        <w:tc>
          <w:tcPr>
            <w:tcW w:w="5598" w:type="dxa"/>
          </w:tcPr>
          <w:p w:rsidR="00BC7DEA" w:rsidRDefault="00BC7DEA" w:rsidP="00661168">
            <w:pPr>
              <w:rPr>
                <w:sz w:val="24"/>
                <w:szCs w:val="24"/>
              </w:rPr>
            </w:pPr>
            <w:r>
              <w:rPr>
                <w:sz w:val="24"/>
                <w:szCs w:val="24"/>
              </w:rPr>
              <w:t>National Park Service (NPS)</w:t>
            </w:r>
          </w:p>
        </w:tc>
        <w:tc>
          <w:tcPr>
            <w:tcW w:w="3978" w:type="dxa"/>
          </w:tcPr>
          <w:p w:rsidR="00BC7DEA" w:rsidRDefault="00BC7DEA" w:rsidP="00661168">
            <w:pPr>
              <w:rPr>
                <w:sz w:val="24"/>
                <w:szCs w:val="24"/>
              </w:rPr>
            </w:pPr>
            <w:r>
              <w:rPr>
                <w:sz w:val="24"/>
                <w:szCs w:val="24"/>
              </w:rPr>
              <w:t>Mike George</w:t>
            </w:r>
          </w:p>
        </w:tc>
      </w:tr>
      <w:tr w:rsidR="00BC7DEA" w:rsidTr="00BC7DEA">
        <w:trPr>
          <w:trHeight w:val="413"/>
        </w:trPr>
        <w:tc>
          <w:tcPr>
            <w:tcW w:w="5598" w:type="dxa"/>
          </w:tcPr>
          <w:p w:rsidR="00BC7DEA" w:rsidRDefault="00BC7DEA">
            <w:pPr>
              <w:rPr>
                <w:sz w:val="24"/>
                <w:szCs w:val="24"/>
              </w:rPr>
            </w:pPr>
            <w:r>
              <w:rPr>
                <w:sz w:val="24"/>
                <w:szCs w:val="24"/>
              </w:rPr>
              <w:t>Wyoming Bureau of Land Management (WY BLM)</w:t>
            </w:r>
          </w:p>
        </w:tc>
        <w:tc>
          <w:tcPr>
            <w:tcW w:w="3978" w:type="dxa"/>
          </w:tcPr>
          <w:p w:rsidR="00BC7DEA" w:rsidRDefault="00BC7DEA">
            <w:pPr>
              <w:rPr>
                <w:sz w:val="24"/>
                <w:szCs w:val="24"/>
              </w:rPr>
            </w:pPr>
            <w:proofErr w:type="spellStart"/>
            <w:r>
              <w:rPr>
                <w:sz w:val="24"/>
                <w:szCs w:val="24"/>
              </w:rPr>
              <w:t>Charis</w:t>
            </w:r>
            <w:proofErr w:type="spellEnd"/>
            <w:r>
              <w:rPr>
                <w:sz w:val="24"/>
                <w:szCs w:val="24"/>
              </w:rPr>
              <w:t xml:space="preserve"> </w:t>
            </w:r>
            <w:proofErr w:type="spellStart"/>
            <w:r>
              <w:rPr>
                <w:sz w:val="24"/>
                <w:szCs w:val="24"/>
              </w:rPr>
              <w:t>Tuers</w:t>
            </w:r>
            <w:proofErr w:type="spellEnd"/>
          </w:p>
        </w:tc>
      </w:tr>
      <w:tr w:rsidR="00BC7DEA" w:rsidTr="00BC7DEA">
        <w:tc>
          <w:tcPr>
            <w:tcW w:w="5598" w:type="dxa"/>
          </w:tcPr>
          <w:p w:rsidR="00BC7DEA" w:rsidRDefault="00BC7DEA" w:rsidP="00BC7DEA">
            <w:pPr>
              <w:rPr>
                <w:sz w:val="24"/>
                <w:szCs w:val="24"/>
              </w:rPr>
            </w:pPr>
            <w:r>
              <w:rPr>
                <w:sz w:val="24"/>
                <w:szCs w:val="24"/>
              </w:rPr>
              <w:t>Utah Bureau of Land Management (UT BLM)</w:t>
            </w:r>
          </w:p>
        </w:tc>
        <w:tc>
          <w:tcPr>
            <w:tcW w:w="3978" w:type="dxa"/>
          </w:tcPr>
          <w:p w:rsidR="00BC7DEA" w:rsidRDefault="00BC7DEA">
            <w:pPr>
              <w:rPr>
                <w:sz w:val="24"/>
                <w:szCs w:val="24"/>
              </w:rPr>
            </w:pPr>
            <w:r>
              <w:rPr>
                <w:sz w:val="24"/>
                <w:szCs w:val="24"/>
              </w:rPr>
              <w:t>Collin Schwartz</w:t>
            </w:r>
          </w:p>
        </w:tc>
      </w:tr>
      <w:tr w:rsidR="00BC7DEA" w:rsidTr="00BC7DEA">
        <w:tc>
          <w:tcPr>
            <w:tcW w:w="5598" w:type="dxa"/>
          </w:tcPr>
          <w:p w:rsidR="00BC7DEA" w:rsidRDefault="00BC7DEA">
            <w:pPr>
              <w:rPr>
                <w:sz w:val="24"/>
                <w:szCs w:val="24"/>
              </w:rPr>
            </w:pPr>
            <w:r>
              <w:rPr>
                <w:sz w:val="24"/>
                <w:szCs w:val="24"/>
              </w:rPr>
              <w:t>Utah Division of Air Quality (UDAQ)</w:t>
            </w:r>
          </w:p>
        </w:tc>
        <w:tc>
          <w:tcPr>
            <w:tcW w:w="3978" w:type="dxa"/>
          </w:tcPr>
          <w:p w:rsidR="00BC7DEA" w:rsidRDefault="00BC7DEA">
            <w:pPr>
              <w:rPr>
                <w:sz w:val="24"/>
                <w:szCs w:val="24"/>
              </w:rPr>
            </w:pPr>
            <w:r>
              <w:rPr>
                <w:sz w:val="24"/>
                <w:szCs w:val="24"/>
              </w:rPr>
              <w:t>Patrick Barickman</w:t>
            </w:r>
          </w:p>
        </w:tc>
      </w:tr>
      <w:tr w:rsidR="00BC7DEA" w:rsidTr="00BC7DEA">
        <w:tc>
          <w:tcPr>
            <w:tcW w:w="5598" w:type="dxa"/>
          </w:tcPr>
          <w:p w:rsidR="00BC7DEA" w:rsidRDefault="00BC7DEA">
            <w:pPr>
              <w:rPr>
                <w:sz w:val="24"/>
                <w:szCs w:val="24"/>
              </w:rPr>
            </w:pPr>
            <w:r>
              <w:rPr>
                <w:sz w:val="24"/>
                <w:szCs w:val="24"/>
              </w:rPr>
              <w:t>Wyoming Dept. of Environmental Quality (WYDEQ)</w:t>
            </w:r>
          </w:p>
        </w:tc>
        <w:tc>
          <w:tcPr>
            <w:tcW w:w="3978" w:type="dxa"/>
          </w:tcPr>
          <w:p w:rsidR="00BC7DEA" w:rsidRDefault="00BC7DEA">
            <w:pPr>
              <w:rPr>
                <w:sz w:val="24"/>
                <w:szCs w:val="24"/>
              </w:rPr>
            </w:pPr>
            <w:r>
              <w:rPr>
                <w:sz w:val="24"/>
                <w:szCs w:val="24"/>
              </w:rPr>
              <w:t xml:space="preserve">Cara </w:t>
            </w:r>
            <w:proofErr w:type="spellStart"/>
            <w:r>
              <w:rPr>
                <w:sz w:val="24"/>
                <w:szCs w:val="24"/>
              </w:rPr>
              <w:t>Keslar</w:t>
            </w:r>
            <w:proofErr w:type="spellEnd"/>
          </w:p>
        </w:tc>
      </w:tr>
      <w:tr w:rsidR="00BC7DEA" w:rsidTr="00BC7DEA">
        <w:tc>
          <w:tcPr>
            <w:tcW w:w="5598" w:type="dxa"/>
          </w:tcPr>
          <w:p w:rsidR="00BC7DEA" w:rsidRDefault="00BC7DEA">
            <w:pPr>
              <w:rPr>
                <w:sz w:val="24"/>
                <w:szCs w:val="24"/>
              </w:rPr>
            </w:pPr>
            <w:r>
              <w:rPr>
                <w:sz w:val="24"/>
                <w:szCs w:val="24"/>
              </w:rPr>
              <w:t>U.S. Forest Service (USFS)</w:t>
            </w:r>
          </w:p>
        </w:tc>
        <w:tc>
          <w:tcPr>
            <w:tcW w:w="3978" w:type="dxa"/>
          </w:tcPr>
          <w:p w:rsidR="00BC7DEA" w:rsidRDefault="00BC7DEA">
            <w:pPr>
              <w:rPr>
                <w:sz w:val="24"/>
                <w:szCs w:val="24"/>
              </w:rPr>
            </w:pPr>
            <w:r>
              <w:rPr>
                <w:sz w:val="24"/>
                <w:szCs w:val="24"/>
              </w:rPr>
              <w:t>Debbie Miller</w:t>
            </w:r>
          </w:p>
        </w:tc>
      </w:tr>
    </w:tbl>
    <w:p w:rsidR="000C2178" w:rsidRDefault="000C2178">
      <w:pPr>
        <w:rPr>
          <w:sz w:val="24"/>
          <w:szCs w:val="24"/>
        </w:rPr>
      </w:pPr>
    </w:p>
    <w:p w:rsidR="00BF07D2" w:rsidRDefault="0002152E">
      <w:pPr>
        <w:rPr>
          <w:sz w:val="24"/>
          <w:szCs w:val="24"/>
        </w:rPr>
      </w:pPr>
      <w:r>
        <w:rPr>
          <w:sz w:val="24"/>
          <w:szCs w:val="24"/>
        </w:rPr>
        <w:t xml:space="preserve">Locations of </w:t>
      </w:r>
      <w:r w:rsidR="00BC7DEA">
        <w:rPr>
          <w:sz w:val="24"/>
          <w:szCs w:val="24"/>
        </w:rPr>
        <w:t xml:space="preserve">monitoring </w:t>
      </w:r>
      <w:r>
        <w:rPr>
          <w:sz w:val="24"/>
          <w:szCs w:val="24"/>
        </w:rPr>
        <w:t xml:space="preserve">sites discussed below are depicted in the attached map. </w:t>
      </w:r>
      <w:r w:rsidR="00AE62B1">
        <w:rPr>
          <w:sz w:val="24"/>
          <w:szCs w:val="24"/>
        </w:rPr>
        <w:t xml:space="preserve"> All monitoring sites will have instrumentation for </w:t>
      </w:r>
      <w:r w:rsidR="00775703">
        <w:rPr>
          <w:sz w:val="24"/>
          <w:szCs w:val="24"/>
        </w:rPr>
        <w:t>continuous measurement of</w:t>
      </w:r>
      <w:r w:rsidR="00AE62B1">
        <w:rPr>
          <w:sz w:val="24"/>
          <w:szCs w:val="24"/>
        </w:rPr>
        <w:t xml:space="preserve"> ambient ozone conc</w:t>
      </w:r>
      <w:r w:rsidR="00775703">
        <w:rPr>
          <w:sz w:val="24"/>
          <w:szCs w:val="24"/>
        </w:rPr>
        <w:t>entrations.  Meteorological parameters and other trace gasses may be monitored in addition to ozone at some sites</w:t>
      </w:r>
      <w:r w:rsidR="00F62876">
        <w:rPr>
          <w:sz w:val="24"/>
          <w:szCs w:val="24"/>
        </w:rPr>
        <w:t xml:space="preserve"> as funding allows</w:t>
      </w:r>
      <w:r w:rsidR="00775703">
        <w:rPr>
          <w:sz w:val="24"/>
          <w:szCs w:val="24"/>
        </w:rPr>
        <w:t>.</w:t>
      </w:r>
      <w:r w:rsidR="00661168">
        <w:rPr>
          <w:sz w:val="24"/>
          <w:szCs w:val="24"/>
        </w:rPr>
        <w:t xml:space="preserve"> </w:t>
      </w:r>
      <w:r w:rsidR="00775703">
        <w:rPr>
          <w:sz w:val="24"/>
          <w:szCs w:val="24"/>
        </w:rPr>
        <w:t xml:space="preserve"> Several of the USFS sites will only operate seasonally (roughly April – October depending on location). </w:t>
      </w:r>
    </w:p>
    <w:p w:rsidR="00353EC8" w:rsidRPr="00353EC8" w:rsidRDefault="00353EC8">
      <w:pPr>
        <w:rPr>
          <w:i/>
          <w:sz w:val="24"/>
          <w:szCs w:val="24"/>
        </w:rPr>
      </w:pPr>
      <w:r>
        <w:rPr>
          <w:sz w:val="24"/>
          <w:szCs w:val="24"/>
        </w:rPr>
        <w:t xml:space="preserve">Specific action items identified during the call are listed </w:t>
      </w:r>
      <w:r>
        <w:rPr>
          <w:i/>
          <w:sz w:val="24"/>
          <w:szCs w:val="24"/>
        </w:rPr>
        <w:t xml:space="preserve">in italics. </w:t>
      </w:r>
    </w:p>
    <w:p w:rsidR="00BF07D2" w:rsidRPr="00F62876" w:rsidRDefault="00BF07D2" w:rsidP="004D43C2">
      <w:pPr>
        <w:pStyle w:val="ReportHeading4"/>
      </w:pPr>
      <w:r>
        <w:t xml:space="preserve">New sites at </w:t>
      </w:r>
      <w:r w:rsidRPr="00F62876">
        <w:t xml:space="preserve">Douglas Pass, </w:t>
      </w:r>
      <w:proofErr w:type="spellStart"/>
      <w:r w:rsidRPr="00F62876">
        <w:t>Kremmling</w:t>
      </w:r>
      <w:proofErr w:type="spellEnd"/>
      <w:r w:rsidRPr="00F62876">
        <w:t xml:space="preserve"> and Medicine Bow NF</w:t>
      </w:r>
    </w:p>
    <w:p w:rsidR="004D43C2" w:rsidRDefault="00BF07D2" w:rsidP="00E5477F">
      <w:pPr>
        <w:ind w:left="720"/>
        <w:rPr>
          <w:sz w:val="24"/>
          <w:szCs w:val="24"/>
        </w:rPr>
      </w:pPr>
      <w:r>
        <w:rPr>
          <w:sz w:val="24"/>
          <w:szCs w:val="24"/>
        </w:rPr>
        <w:t xml:space="preserve">Assuming resources are available at currently anticipated levels, the USFS is planning on </w:t>
      </w:r>
      <w:proofErr w:type="gramStart"/>
      <w:r>
        <w:rPr>
          <w:sz w:val="24"/>
          <w:szCs w:val="24"/>
        </w:rPr>
        <w:t>opening</w:t>
      </w:r>
      <w:proofErr w:type="gramEnd"/>
      <w:r>
        <w:rPr>
          <w:sz w:val="24"/>
          <w:szCs w:val="24"/>
        </w:rPr>
        <w:t xml:space="preserve"> new POM sites at </w:t>
      </w:r>
      <w:r w:rsidRPr="00F62876">
        <w:rPr>
          <w:b/>
          <w:sz w:val="24"/>
          <w:szCs w:val="24"/>
        </w:rPr>
        <w:t>Douglas Pass</w:t>
      </w:r>
      <w:r>
        <w:rPr>
          <w:sz w:val="24"/>
          <w:szCs w:val="24"/>
        </w:rPr>
        <w:t xml:space="preserve">, </w:t>
      </w:r>
      <w:proofErr w:type="spellStart"/>
      <w:r w:rsidRPr="00F62876">
        <w:rPr>
          <w:b/>
          <w:sz w:val="24"/>
          <w:szCs w:val="24"/>
        </w:rPr>
        <w:t>Kremmling</w:t>
      </w:r>
      <w:proofErr w:type="spellEnd"/>
      <w:r>
        <w:rPr>
          <w:sz w:val="24"/>
          <w:szCs w:val="24"/>
        </w:rPr>
        <w:t xml:space="preserve"> and </w:t>
      </w:r>
      <w:r w:rsidRPr="00F62876">
        <w:rPr>
          <w:b/>
          <w:sz w:val="24"/>
          <w:szCs w:val="24"/>
        </w:rPr>
        <w:t>Medicine Bow NF</w:t>
      </w:r>
      <w:r>
        <w:rPr>
          <w:sz w:val="24"/>
          <w:szCs w:val="24"/>
        </w:rPr>
        <w:t xml:space="preserve"> this year. Exact locations still need to be determined. </w:t>
      </w:r>
    </w:p>
    <w:p w:rsidR="004D43C2" w:rsidRPr="00F62876" w:rsidRDefault="004D43C2" w:rsidP="004D43C2">
      <w:pPr>
        <w:ind w:left="1440"/>
        <w:rPr>
          <w:i/>
          <w:sz w:val="24"/>
          <w:szCs w:val="24"/>
        </w:rPr>
      </w:pPr>
      <w:r w:rsidRPr="00F62876">
        <w:rPr>
          <w:i/>
          <w:sz w:val="24"/>
          <w:szCs w:val="24"/>
        </w:rPr>
        <w:t xml:space="preserve">Debbie to confirm with John </w:t>
      </w:r>
      <w:proofErr w:type="spellStart"/>
      <w:r w:rsidRPr="00F62876">
        <w:rPr>
          <w:i/>
          <w:sz w:val="24"/>
          <w:szCs w:val="24"/>
        </w:rPr>
        <w:t>Korfmacher</w:t>
      </w:r>
      <w:proofErr w:type="spellEnd"/>
      <w:r w:rsidRPr="00F62876">
        <w:rPr>
          <w:i/>
          <w:sz w:val="24"/>
          <w:szCs w:val="24"/>
        </w:rPr>
        <w:t xml:space="preserve"> that USFS will be able to establish and operate the new sites wi</w:t>
      </w:r>
      <w:r w:rsidR="00661168">
        <w:rPr>
          <w:i/>
          <w:sz w:val="24"/>
          <w:szCs w:val="24"/>
        </w:rPr>
        <w:t>thout additional outside funding;</w:t>
      </w:r>
      <w:r w:rsidRPr="00F62876">
        <w:rPr>
          <w:i/>
          <w:sz w:val="24"/>
          <w:szCs w:val="24"/>
        </w:rPr>
        <w:t xml:space="preserve">  </w:t>
      </w:r>
    </w:p>
    <w:p w:rsidR="000557FC" w:rsidRDefault="00BF07D2" w:rsidP="000557FC">
      <w:pPr>
        <w:ind w:left="1440"/>
        <w:rPr>
          <w:i/>
          <w:sz w:val="24"/>
          <w:szCs w:val="24"/>
        </w:rPr>
      </w:pPr>
      <w:r w:rsidRPr="00F62876">
        <w:rPr>
          <w:i/>
          <w:sz w:val="24"/>
          <w:szCs w:val="24"/>
        </w:rPr>
        <w:t>Decision</w:t>
      </w:r>
      <w:r w:rsidR="00661168">
        <w:rPr>
          <w:i/>
          <w:sz w:val="24"/>
          <w:szCs w:val="24"/>
        </w:rPr>
        <w:t>s</w:t>
      </w:r>
      <w:r w:rsidRPr="00F62876">
        <w:rPr>
          <w:i/>
          <w:sz w:val="24"/>
          <w:szCs w:val="24"/>
        </w:rPr>
        <w:t xml:space="preserve"> on wh</w:t>
      </w:r>
      <w:r w:rsidR="00661168">
        <w:rPr>
          <w:i/>
          <w:sz w:val="24"/>
          <w:szCs w:val="24"/>
        </w:rPr>
        <w:t>ich sites will be year-round vs.</w:t>
      </w:r>
      <w:r w:rsidRPr="00F62876">
        <w:rPr>
          <w:i/>
          <w:sz w:val="24"/>
          <w:szCs w:val="24"/>
        </w:rPr>
        <w:t xml:space="preserve"> seasonal still need to be made</w:t>
      </w:r>
      <w:r w:rsidR="000557FC">
        <w:rPr>
          <w:i/>
          <w:sz w:val="24"/>
          <w:szCs w:val="24"/>
        </w:rPr>
        <w:t>;</w:t>
      </w:r>
    </w:p>
    <w:p w:rsidR="00E5477F" w:rsidRPr="000557FC" w:rsidRDefault="000557FC" w:rsidP="000557FC">
      <w:pPr>
        <w:ind w:left="1440"/>
        <w:rPr>
          <w:i/>
          <w:sz w:val="24"/>
          <w:szCs w:val="24"/>
        </w:rPr>
      </w:pPr>
      <w:r>
        <w:rPr>
          <w:i/>
          <w:sz w:val="24"/>
          <w:szCs w:val="24"/>
        </w:rPr>
        <w:t>Need to confirm mechanism for data upload to AQS</w:t>
      </w:r>
      <w:r w:rsidR="00BF07D2" w:rsidRPr="00F62876">
        <w:rPr>
          <w:i/>
          <w:sz w:val="24"/>
          <w:szCs w:val="24"/>
        </w:rPr>
        <w:t>.</w:t>
      </w:r>
      <w:r w:rsidR="00BF07D2">
        <w:rPr>
          <w:sz w:val="24"/>
          <w:szCs w:val="24"/>
        </w:rPr>
        <w:t xml:space="preserve">  </w:t>
      </w:r>
    </w:p>
    <w:p w:rsidR="00BF07D2" w:rsidRDefault="00BF07D2" w:rsidP="00E5477F">
      <w:pPr>
        <w:ind w:left="720"/>
        <w:rPr>
          <w:sz w:val="24"/>
          <w:szCs w:val="24"/>
        </w:rPr>
      </w:pPr>
      <w:r>
        <w:rPr>
          <w:sz w:val="24"/>
          <w:szCs w:val="24"/>
        </w:rPr>
        <w:lastRenderedPageBreak/>
        <w:t xml:space="preserve">USFS plans to close the </w:t>
      </w:r>
      <w:r w:rsidRPr="00F62876">
        <w:rPr>
          <w:b/>
          <w:sz w:val="24"/>
          <w:szCs w:val="24"/>
        </w:rPr>
        <w:t>Dutch John</w:t>
      </w:r>
      <w:r>
        <w:rPr>
          <w:sz w:val="24"/>
          <w:szCs w:val="24"/>
        </w:rPr>
        <w:t xml:space="preserve"> and </w:t>
      </w:r>
      <w:r w:rsidRPr="00F62876">
        <w:rPr>
          <w:b/>
          <w:sz w:val="24"/>
          <w:szCs w:val="24"/>
        </w:rPr>
        <w:t>Norwood</w:t>
      </w:r>
      <w:r>
        <w:rPr>
          <w:sz w:val="24"/>
          <w:szCs w:val="24"/>
        </w:rPr>
        <w:t xml:space="preserve"> sites (</w:t>
      </w:r>
      <w:r w:rsidR="00E5477F">
        <w:rPr>
          <w:sz w:val="24"/>
          <w:szCs w:val="24"/>
        </w:rPr>
        <w:t xml:space="preserve">the later </w:t>
      </w:r>
      <w:r>
        <w:rPr>
          <w:sz w:val="24"/>
          <w:szCs w:val="24"/>
        </w:rPr>
        <w:t xml:space="preserve">after confirming with other interested parties) and may also close </w:t>
      </w:r>
      <w:r w:rsidRPr="00F62876">
        <w:rPr>
          <w:b/>
          <w:sz w:val="24"/>
          <w:szCs w:val="24"/>
        </w:rPr>
        <w:t>Trout Creek Pass</w:t>
      </w:r>
      <w:r>
        <w:rPr>
          <w:sz w:val="24"/>
          <w:szCs w:val="24"/>
        </w:rPr>
        <w:t xml:space="preserve">. </w:t>
      </w:r>
      <w:r w:rsidR="00661168">
        <w:rPr>
          <w:sz w:val="24"/>
          <w:szCs w:val="24"/>
        </w:rPr>
        <w:t xml:space="preserve"> </w:t>
      </w:r>
      <w:r w:rsidR="00E5477F">
        <w:rPr>
          <w:sz w:val="24"/>
          <w:szCs w:val="24"/>
        </w:rPr>
        <w:t xml:space="preserve">Decision to maintain </w:t>
      </w:r>
      <w:r w:rsidR="00E5477F" w:rsidRPr="00F62876">
        <w:rPr>
          <w:b/>
          <w:sz w:val="24"/>
          <w:szCs w:val="24"/>
        </w:rPr>
        <w:t>Silt-</w:t>
      </w:r>
      <w:proofErr w:type="spellStart"/>
      <w:r w:rsidR="00E5477F" w:rsidRPr="00F62876">
        <w:rPr>
          <w:b/>
          <w:sz w:val="24"/>
          <w:szCs w:val="24"/>
        </w:rPr>
        <w:t>Collbran</w:t>
      </w:r>
      <w:proofErr w:type="spellEnd"/>
      <w:r w:rsidR="00E5477F">
        <w:rPr>
          <w:sz w:val="24"/>
          <w:szCs w:val="24"/>
        </w:rPr>
        <w:t xml:space="preserve"> and </w:t>
      </w:r>
      <w:r w:rsidR="00E5477F" w:rsidRPr="00F62876">
        <w:rPr>
          <w:b/>
          <w:sz w:val="24"/>
          <w:szCs w:val="24"/>
        </w:rPr>
        <w:t>Grand Mesa</w:t>
      </w:r>
      <w:r w:rsidR="00E5477F">
        <w:rPr>
          <w:sz w:val="24"/>
          <w:szCs w:val="24"/>
        </w:rPr>
        <w:t xml:space="preserve"> is subject to further review. </w:t>
      </w:r>
      <w:r w:rsidR="00661168">
        <w:rPr>
          <w:sz w:val="24"/>
          <w:szCs w:val="24"/>
        </w:rPr>
        <w:t xml:space="preserve"> </w:t>
      </w:r>
      <w:r w:rsidR="00E5477F">
        <w:rPr>
          <w:sz w:val="24"/>
          <w:szCs w:val="24"/>
        </w:rPr>
        <w:t xml:space="preserve">USFS anticipates keeping all other sites in their current </w:t>
      </w:r>
      <w:r w:rsidR="00661168">
        <w:rPr>
          <w:sz w:val="24"/>
          <w:szCs w:val="24"/>
        </w:rPr>
        <w:t xml:space="preserve">Colorado </w:t>
      </w:r>
      <w:r w:rsidR="00E5477F">
        <w:rPr>
          <w:sz w:val="24"/>
          <w:szCs w:val="24"/>
        </w:rPr>
        <w:t>network in operation (</w:t>
      </w:r>
      <w:proofErr w:type="spellStart"/>
      <w:r w:rsidR="00E5477F">
        <w:rPr>
          <w:sz w:val="24"/>
          <w:szCs w:val="24"/>
        </w:rPr>
        <w:t>Briggsdale</w:t>
      </w:r>
      <w:proofErr w:type="spellEnd"/>
      <w:r w:rsidR="00E5477F">
        <w:rPr>
          <w:sz w:val="24"/>
          <w:szCs w:val="24"/>
        </w:rPr>
        <w:t xml:space="preserve">, </w:t>
      </w:r>
      <w:r w:rsidR="00E5477F" w:rsidRPr="00F62876">
        <w:rPr>
          <w:b/>
          <w:sz w:val="24"/>
          <w:szCs w:val="24"/>
        </w:rPr>
        <w:t>Goliath Peak</w:t>
      </w:r>
      <w:r w:rsidR="00E5477F">
        <w:rPr>
          <w:sz w:val="24"/>
          <w:szCs w:val="24"/>
        </w:rPr>
        <w:t xml:space="preserve">, </w:t>
      </w:r>
      <w:r w:rsidR="00E5477F" w:rsidRPr="00F62876">
        <w:rPr>
          <w:b/>
          <w:sz w:val="24"/>
          <w:szCs w:val="24"/>
        </w:rPr>
        <w:t>Flattops</w:t>
      </w:r>
      <w:r w:rsidR="00E5477F">
        <w:rPr>
          <w:sz w:val="24"/>
          <w:szCs w:val="24"/>
        </w:rPr>
        <w:t xml:space="preserve">, Ripple Creek, </w:t>
      </w:r>
      <w:r w:rsidR="00E5477F" w:rsidRPr="00F62876">
        <w:rPr>
          <w:b/>
          <w:sz w:val="24"/>
          <w:szCs w:val="24"/>
        </w:rPr>
        <w:t>Sunlight Mountain</w:t>
      </w:r>
      <w:r w:rsidR="00E5477F">
        <w:rPr>
          <w:sz w:val="24"/>
          <w:szCs w:val="24"/>
        </w:rPr>
        <w:t xml:space="preserve">, </w:t>
      </w:r>
      <w:r w:rsidR="00E5477F" w:rsidRPr="00F62876">
        <w:rPr>
          <w:b/>
          <w:sz w:val="24"/>
          <w:szCs w:val="24"/>
        </w:rPr>
        <w:t>McClure Pass</w:t>
      </w:r>
      <w:r w:rsidR="00E5477F">
        <w:rPr>
          <w:sz w:val="24"/>
          <w:szCs w:val="24"/>
        </w:rPr>
        <w:t xml:space="preserve">, </w:t>
      </w:r>
      <w:r w:rsidR="00E5477F" w:rsidRPr="00F62876">
        <w:rPr>
          <w:b/>
          <w:sz w:val="24"/>
          <w:szCs w:val="24"/>
        </w:rPr>
        <w:t>Kenosha Pass</w:t>
      </w:r>
      <w:r w:rsidR="00E5477F">
        <w:rPr>
          <w:sz w:val="24"/>
          <w:szCs w:val="24"/>
        </w:rPr>
        <w:t xml:space="preserve">, </w:t>
      </w:r>
      <w:r w:rsidR="00E5477F" w:rsidRPr="00F62876">
        <w:rPr>
          <w:b/>
          <w:sz w:val="24"/>
          <w:szCs w:val="24"/>
        </w:rPr>
        <w:t>Weminuche (Shamrock)</w:t>
      </w:r>
      <w:r w:rsidR="00E5477F">
        <w:rPr>
          <w:sz w:val="24"/>
          <w:szCs w:val="24"/>
        </w:rPr>
        <w:t xml:space="preserve">, </w:t>
      </w:r>
      <w:r w:rsidR="006624A5" w:rsidRPr="00F62876">
        <w:rPr>
          <w:b/>
          <w:sz w:val="24"/>
          <w:szCs w:val="24"/>
        </w:rPr>
        <w:t>Little Mountain</w:t>
      </w:r>
      <w:r w:rsidR="006624A5">
        <w:rPr>
          <w:sz w:val="24"/>
          <w:szCs w:val="24"/>
        </w:rPr>
        <w:t xml:space="preserve">, </w:t>
      </w:r>
      <w:r w:rsidR="006624A5" w:rsidRPr="00F62876">
        <w:rPr>
          <w:b/>
          <w:sz w:val="24"/>
          <w:szCs w:val="24"/>
        </w:rPr>
        <w:t>Pawnee Buttes</w:t>
      </w:r>
      <w:r w:rsidR="006624A5">
        <w:rPr>
          <w:sz w:val="24"/>
          <w:szCs w:val="24"/>
        </w:rPr>
        <w:t xml:space="preserve"> (new site</w:t>
      </w:r>
      <w:r w:rsidR="00F62876">
        <w:rPr>
          <w:sz w:val="24"/>
          <w:szCs w:val="24"/>
        </w:rPr>
        <w:t xml:space="preserve"> opening 2014</w:t>
      </w:r>
      <w:r w:rsidR="006624A5">
        <w:rPr>
          <w:sz w:val="24"/>
          <w:szCs w:val="24"/>
        </w:rPr>
        <w:t xml:space="preserve">) and </w:t>
      </w:r>
      <w:proofErr w:type="spellStart"/>
      <w:r w:rsidR="006624A5" w:rsidRPr="00F62876">
        <w:rPr>
          <w:b/>
          <w:sz w:val="24"/>
          <w:szCs w:val="24"/>
        </w:rPr>
        <w:t>Deadman</w:t>
      </w:r>
      <w:proofErr w:type="spellEnd"/>
      <w:r w:rsidR="006624A5" w:rsidRPr="00F62876">
        <w:rPr>
          <w:b/>
          <w:sz w:val="24"/>
          <w:szCs w:val="24"/>
        </w:rPr>
        <w:t xml:space="preserve"> Pass</w:t>
      </w:r>
      <w:r w:rsidR="006624A5">
        <w:rPr>
          <w:sz w:val="24"/>
          <w:szCs w:val="24"/>
        </w:rPr>
        <w:t xml:space="preserve"> (new site). </w:t>
      </w:r>
    </w:p>
    <w:p w:rsidR="004D43C2" w:rsidRPr="00F62876" w:rsidRDefault="004D43C2" w:rsidP="004D43C2">
      <w:pPr>
        <w:pStyle w:val="ReportHeading4"/>
      </w:pPr>
      <w:r w:rsidRPr="00F62876">
        <w:t>Dinosaur East</w:t>
      </w:r>
      <w:r w:rsidR="00D171F8" w:rsidRPr="00F62876">
        <w:t xml:space="preserve"> and Lay Peak</w:t>
      </w:r>
    </w:p>
    <w:p w:rsidR="00D171F8" w:rsidRDefault="00D171F8" w:rsidP="004D43C2">
      <w:pPr>
        <w:ind w:left="720"/>
        <w:rPr>
          <w:sz w:val="24"/>
          <w:szCs w:val="24"/>
        </w:rPr>
      </w:pPr>
      <w:r w:rsidRPr="00F62876">
        <w:rPr>
          <w:b/>
          <w:sz w:val="24"/>
          <w:szCs w:val="24"/>
        </w:rPr>
        <w:t>Lay Peak</w:t>
      </w:r>
      <w:r>
        <w:rPr>
          <w:sz w:val="24"/>
          <w:szCs w:val="24"/>
        </w:rPr>
        <w:t xml:space="preserve"> (operated by CDPHE via contract with ARS using funding from the 3SAQS Pilot Study) could be closed as early as the end of 2014.  The Working Group feels that closure of this site is warranted if it means that monitoring can be conducted at a new location in northwestern Colorado such as the proposed </w:t>
      </w:r>
      <w:r w:rsidRPr="00F62876">
        <w:rPr>
          <w:b/>
          <w:sz w:val="24"/>
          <w:szCs w:val="24"/>
        </w:rPr>
        <w:t>Dinosaur East</w:t>
      </w:r>
      <w:r>
        <w:rPr>
          <w:sz w:val="24"/>
          <w:szCs w:val="24"/>
        </w:rPr>
        <w:t xml:space="preserve"> site. </w:t>
      </w:r>
      <w:r w:rsidR="00E85C1D">
        <w:rPr>
          <w:sz w:val="24"/>
          <w:szCs w:val="24"/>
        </w:rPr>
        <w:t xml:space="preserve">If not, CDPHE has indicated that they may be able to continue operating </w:t>
      </w:r>
      <w:r w:rsidR="00E85C1D" w:rsidRPr="00F62876">
        <w:rPr>
          <w:b/>
          <w:sz w:val="24"/>
          <w:szCs w:val="24"/>
        </w:rPr>
        <w:t>Lay Peak</w:t>
      </w:r>
      <w:r w:rsidR="00E85C1D">
        <w:rPr>
          <w:sz w:val="24"/>
          <w:szCs w:val="24"/>
        </w:rPr>
        <w:t xml:space="preserve"> through 2015 or even 2016 without additional 3SAQS funding.  CDPHE has also indicated that they </w:t>
      </w:r>
      <w:r w:rsidR="000C2178">
        <w:rPr>
          <w:sz w:val="24"/>
          <w:szCs w:val="24"/>
        </w:rPr>
        <w:t>may be able to</w:t>
      </w:r>
      <w:r w:rsidR="00E85C1D">
        <w:rPr>
          <w:sz w:val="24"/>
          <w:szCs w:val="24"/>
        </w:rPr>
        <w:t xml:space="preserve"> pay cost of moving the </w:t>
      </w:r>
      <w:r w:rsidR="00E85C1D" w:rsidRPr="00F62876">
        <w:rPr>
          <w:b/>
          <w:sz w:val="24"/>
          <w:szCs w:val="24"/>
        </w:rPr>
        <w:t>Lay Peak</w:t>
      </w:r>
      <w:r w:rsidR="00E85C1D">
        <w:rPr>
          <w:sz w:val="24"/>
          <w:szCs w:val="24"/>
        </w:rPr>
        <w:t xml:space="preserve"> site to a new location. </w:t>
      </w:r>
    </w:p>
    <w:p w:rsidR="004D43C2" w:rsidRDefault="004D43C2" w:rsidP="004D43C2">
      <w:pPr>
        <w:ind w:left="720"/>
        <w:rPr>
          <w:sz w:val="24"/>
          <w:szCs w:val="24"/>
        </w:rPr>
      </w:pPr>
      <w:r>
        <w:rPr>
          <w:sz w:val="24"/>
          <w:szCs w:val="24"/>
        </w:rPr>
        <w:t xml:space="preserve">There is agreement among Working Group members that a new site in the </w:t>
      </w:r>
      <w:r w:rsidRPr="00F62876">
        <w:rPr>
          <w:b/>
          <w:sz w:val="24"/>
          <w:szCs w:val="24"/>
        </w:rPr>
        <w:t>Dinosaur East</w:t>
      </w:r>
      <w:r>
        <w:rPr>
          <w:sz w:val="24"/>
          <w:szCs w:val="24"/>
        </w:rPr>
        <w:t xml:space="preserve"> area would be very desirable. </w:t>
      </w:r>
      <w:r w:rsidR="000369F0">
        <w:rPr>
          <w:sz w:val="24"/>
          <w:szCs w:val="24"/>
        </w:rPr>
        <w:t xml:space="preserve"> However, considerable logistical challenges will have to be overcome to make this happen.  </w:t>
      </w:r>
      <w:r w:rsidR="00502FB8">
        <w:rPr>
          <w:sz w:val="24"/>
          <w:szCs w:val="24"/>
        </w:rPr>
        <w:t xml:space="preserve">Options for monitoring include a seasonal POM </w:t>
      </w:r>
      <w:r w:rsidR="00D171F8">
        <w:rPr>
          <w:sz w:val="24"/>
          <w:szCs w:val="24"/>
        </w:rPr>
        <w:t>(which could be solar powered), a winterized POM (</w:t>
      </w:r>
      <w:r w:rsidR="0044622C">
        <w:rPr>
          <w:sz w:val="24"/>
          <w:szCs w:val="24"/>
        </w:rPr>
        <w:t xml:space="preserve">which might </w:t>
      </w:r>
      <w:r w:rsidR="00D171F8">
        <w:rPr>
          <w:sz w:val="24"/>
          <w:szCs w:val="24"/>
        </w:rPr>
        <w:t xml:space="preserve">require </w:t>
      </w:r>
      <w:r w:rsidR="0044622C">
        <w:rPr>
          <w:sz w:val="24"/>
          <w:szCs w:val="24"/>
        </w:rPr>
        <w:t>g</w:t>
      </w:r>
      <w:r w:rsidR="00D171F8">
        <w:rPr>
          <w:sz w:val="24"/>
          <w:szCs w:val="24"/>
        </w:rPr>
        <w:t xml:space="preserve">rid power) or a complete FEM site.  Year-round monitoring is desirable given the potential location with respect to the Uinta Basin.  Monitoring equipment from </w:t>
      </w:r>
      <w:r w:rsidR="00D171F8" w:rsidRPr="00F62876">
        <w:rPr>
          <w:b/>
          <w:sz w:val="24"/>
          <w:szCs w:val="24"/>
        </w:rPr>
        <w:t>Lay Peak</w:t>
      </w:r>
      <w:r w:rsidR="00D171F8">
        <w:rPr>
          <w:sz w:val="24"/>
          <w:szCs w:val="24"/>
        </w:rPr>
        <w:t xml:space="preserve"> could be used to establish a permanent FEM site </w:t>
      </w:r>
      <w:r w:rsidR="00E85C1D">
        <w:rPr>
          <w:sz w:val="24"/>
          <w:szCs w:val="24"/>
        </w:rPr>
        <w:t xml:space="preserve">at </w:t>
      </w:r>
      <w:r w:rsidR="00E85C1D" w:rsidRPr="00F62876">
        <w:rPr>
          <w:b/>
          <w:sz w:val="24"/>
          <w:szCs w:val="24"/>
        </w:rPr>
        <w:t>Dinosaur East</w:t>
      </w:r>
      <w:r w:rsidR="00E85C1D">
        <w:rPr>
          <w:sz w:val="24"/>
          <w:szCs w:val="24"/>
        </w:rPr>
        <w:t xml:space="preserve"> if sufficient infrastructure is available. </w:t>
      </w:r>
    </w:p>
    <w:p w:rsidR="000369F0" w:rsidRPr="00661168" w:rsidRDefault="000369F0" w:rsidP="000369F0">
      <w:pPr>
        <w:ind w:left="1440"/>
        <w:rPr>
          <w:i/>
          <w:sz w:val="24"/>
          <w:szCs w:val="24"/>
        </w:rPr>
      </w:pPr>
      <w:r w:rsidRPr="00661168">
        <w:rPr>
          <w:i/>
          <w:sz w:val="24"/>
          <w:szCs w:val="24"/>
        </w:rPr>
        <w:t xml:space="preserve">Barkley Sive (NPS) </w:t>
      </w:r>
      <w:bookmarkStart w:id="0" w:name="_GoBack"/>
      <w:bookmarkEnd w:id="0"/>
      <w:r w:rsidRPr="00661168">
        <w:rPr>
          <w:i/>
          <w:sz w:val="24"/>
          <w:szCs w:val="24"/>
        </w:rPr>
        <w:t xml:space="preserve">will check with contacts at Dinosaur NM regarding availability of power at the eastern end of the NM. </w:t>
      </w:r>
    </w:p>
    <w:p w:rsidR="00502FB8" w:rsidRPr="00661168" w:rsidRDefault="00502FB8" w:rsidP="000369F0">
      <w:pPr>
        <w:ind w:left="1440"/>
        <w:rPr>
          <w:i/>
          <w:sz w:val="24"/>
          <w:szCs w:val="24"/>
        </w:rPr>
      </w:pPr>
      <w:r w:rsidRPr="00661168">
        <w:rPr>
          <w:i/>
          <w:sz w:val="24"/>
          <w:szCs w:val="24"/>
        </w:rPr>
        <w:t xml:space="preserve">Debbie will talk to John </w:t>
      </w:r>
      <w:proofErr w:type="spellStart"/>
      <w:r w:rsidRPr="00661168">
        <w:rPr>
          <w:i/>
          <w:sz w:val="24"/>
          <w:szCs w:val="24"/>
        </w:rPr>
        <w:t>Korfmacher</w:t>
      </w:r>
      <w:proofErr w:type="spellEnd"/>
      <w:r w:rsidRPr="00661168">
        <w:rPr>
          <w:i/>
          <w:sz w:val="24"/>
          <w:szCs w:val="24"/>
        </w:rPr>
        <w:t xml:space="preserve"> regarding feasibility of providing a winterized POM at the proposed location</w:t>
      </w:r>
      <w:r w:rsidR="000557FC">
        <w:rPr>
          <w:i/>
          <w:sz w:val="24"/>
          <w:szCs w:val="24"/>
        </w:rPr>
        <w:t xml:space="preserve"> and determine in conjunction with NPS/CDPHE if infrastructure exits to support it</w:t>
      </w:r>
      <w:r w:rsidRPr="00661168">
        <w:rPr>
          <w:i/>
          <w:sz w:val="24"/>
          <w:szCs w:val="24"/>
        </w:rPr>
        <w:t xml:space="preserve">. </w:t>
      </w:r>
    </w:p>
    <w:p w:rsidR="0002152E" w:rsidRPr="00F62876" w:rsidRDefault="0002152E" w:rsidP="00ED0FCE">
      <w:pPr>
        <w:pStyle w:val="ReportHeading4"/>
      </w:pPr>
      <w:r w:rsidRPr="00F62876">
        <w:t>Paradox</w:t>
      </w:r>
    </w:p>
    <w:p w:rsidR="0002152E" w:rsidRDefault="0002152E" w:rsidP="0002152E">
      <w:r>
        <w:t xml:space="preserve">Establishment of a new monitor in the vicinity of the town of </w:t>
      </w:r>
      <w:r w:rsidRPr="00F62876">
        <w:rPr>
          <w:b/>
        </w:rPr>
        <w:t>Paradox</w:t>
      </w:r>
      <w:r>
        <w:t xml:space="preserve"> in southwestern Colorado near the Utah state line was identified as a “medium” priority objective by the Working Group as a whole, a priority ranking lower than that for </w:t>
      </w:r>
      <w:r w:rsidR="00D451DD">
        <w:t>the other monitoring sites in Colorado discussed above (</w:t>
      </w:r>
      <w:r w:rsidRPr="00F62876">
        <w:rPr>
          <w:b/>
        </w:rPr>
        <w:t xml:space="preserve">Douglas Pass, </w:t>
      </w:r>
      <w:proofErr w:type="spellStart"/>
      <w:r w:rsidRPr="00F62876">
        <w:rPr>
          <w:b/>
        </w:rPr>
        <w:t>Kremmling</w:t>
      </w:r>
      <w:proofErr w:type="spellEnd"/>
      <w:r w:rsidRPr="00F62876">
        <w:rPr>
          <w:b/>
        </w:rPr>
        <w:t xml:space="preserve">,  Dinosaur East, </w:t>
      </w:r>
      <w:r w:rsidRPr="00F62876">
        <w:t>and</w:t>
      </w:r>
      <w:r w:rsidRPr="00F62876">
        <w:rPr>
          <w:b/>
        </w:rPr>
        <w:t xml:space="preserve"> Medicine Bow</w:t>
      </w:r>
      <w:r w:rsidR="00D451DD">
        <w:t>)</w:t>
      </w:r>
      <w:r>
        <w:t xml:space="preserve">.  </w:t>
      </w:r>
      <w:r w:rsidR="00D451DD">
        <w:t xml:space="preserve">Setup and operation of a monitor at </w:t>
      </w:r>
      <w:r>
        <w:t xml:space="preserve">this location would be </w:t>
      </w:r>
      <w:r w:rsidR="00D451DD">
        <w:t>expensive</w:t>
      </w:r>
      <w:r>
        <w:t xml:space="preserve"> given the distance from other sites. </w:t>
      </w:r>
      <w:r w:rsidR="00D451DD">
        <w:t xml:space="preserve"> The Working Group has not reached a recommendation regarding this potential site. </w:t>
      </w:r>
    </w:p>
    <w:p w:rsidR="00D451DD" w:rsidRPr="00F62876" w:rsidRDefault="00D451DD" w:rsidP="00D451DD">
      <w:pPr>
        <w:pStyle w:val="ReportHeading4"/>
      </w:pPr>
      <w:r w:rsidRPr="00F62876">
        <w:t>Walden</w:t>
      </w:r>
    </w:p>
    <w:p w:rsidR="00D451DD" w:rsidRDefault="00D451DD" w:rsidP="00D451DD">
      <w:pPr>
        <w:pStyle w:val="ReportBodyText"/>
      </w:pPr>
      <w:proofErr w:type="gramStart"/>
      <w:r>
        <w:t xml:space="preserve">Closure of the </w:t>
      </w:r>
      <w:r w:rsidRPr="00F62876">
        <w:rPr>
          <w:b/>
        </w:rPr>
        <w:t>Walden</w:t>
      </w:r>
      <w:r>
        <w:t xml:space="preserve"> site </w:t>
      </w:r>
      <w:r w:rsidR="00AE62B1">
        <w:t>after conclusion of the FRAPPE study in October,</w:t>
      </w:r>
      <w:r>
        <w:t xml:space="preserve"> 2014 </w:t>
      </w:r>
      <w:r w:rsidR="00AE62B1">
        <w:t>is being considered by the USFS.</w:t>
      </w:r>
      <w:proofErr w:type="gramEnd"/>
      <w:r w:rsidR="00AE62B1">
        <w:t xml:space="preserve"> If this year-round site </w:t>
      </w:r>
      <w:r w:rsidR="00253655">
        <w:t xml:space="preserve">with multiple monitoring parameters other than ozone </w:t>
      </w:r>
      <w:r w:rsidR="00AE62B1">
        <w:t xml:space="preserve">is closed, it might be possible to use the equipment at the proposed </w:t>
      </w:r>
      <w:r w:rsidR="00AE62B1" w:rsidRPr="00F62876">
        <w:rPr>
          <w:b/>
        </w:rPr>
        <w:t>Dinosaur East</w:t>
      </w:r>
      <w:r w:rsidR="00AE62B1">
        <w:t xml:space="preserve"> site.</w:t>
      </w:r>
      <w:r w:rsidR="00253655">
        <w:t xml:space="preserve">  Tom made the point that the site is useful for model performance since it is well-instrumented</w:t>
      </w:r>
      <w:r w:rsidR="000557FC">
        <w:t xml:space="preserve"> (including </w:t>
      </w:r>
      <w:proofErr w:type="spellStart"/>
      <w:r w:rsidR="000557FC">
        <w:t>NOx</w:t>
      </w:r>
      <w:proofErr w:type="spellEnd"/>
      <w:r w:rsidR="000557FC">
        <w:t>, CO, SO2 and a met. package)</w:t>
      </w:r>
      <w:r w:rsidR="00253655">
        <w:t>.</w:t>
      </w:r>
      <w:r w:rsidR="00AE62B1">
        <w:t xml:space="preserve"> </w:t>
      </w:r>
    </w:p>
    <w:p w:rsidR="00AE62B1" w:rsidRPr="00661168" w:rsidRDefault="00AE62B1" w:rsidP="00AE62B1">
      <w:pPr>
        <w:pStyle w:val="ReportBodyText"/>
        <w:ind w:left="720"/>
        <w:rPr>
          <w:i/>
        </w:rPr>
      </w:pPr>
      <w:r w:rsidRPr="00661168">
        <w:rPr>
          <w:i/>
        </w:rPr>
        <w:lastRenderedPageBreak/>
        <w:t xml:space="preserve">Debbie will discuss disposition of the </w:t>
      </w:r>
      <w:r w:rsidRPr="00661168">
        <w:rPr>
          <w:b/>
          <w:i/>
        </w:rPr>
        <w:t>Walden</w:t>
      </w:r>
      <w:r w:rsidRPr="00661168">
        <w:rPr>
          <w:i/>
        </w:rPr>
        <w:t xml:space="preserve"> site with USFS management. </w:t>
      </w:r>
    </w:p>
    <w:p w:rsidR="0002152E" w:rsidRDefault="00AE62B1" w:rsidP="0002152E">
      <w:pPr>
        <w:pStyle w:val="ReportHeading4"/>
      </w:pPr>
      <w:r>
        <w:t>Other New S</w:t>
      </w:r>
      <w:r w:rsidR="0002152E">
        <w:t>ites</w:t>
      </w:r>
    </w:p>
    <w:p w:rsidR="0002152E" w:rsidRDefault="00AE62B1" w:rsidP="008D3A6D">
      <w:pPr>
        <w:pStyle w:val="ReportBodyText"/>
      </w:pPr>
      <w:r>
        <w:t xml:space="preserve">During previous conference calls, Debbie M. and John K. indicated that the USFS is planning to open </w:t>
      </w:r>
      <w:r w:rsidR="00F843B3">
        <w:t>a new</w:t>
      </w:r>
      <w:r>
        <w:t xml:space="preserve"> </w:t>
      </w:r>
      <w:r w:rsidRPr="00F62876">
        <w:rPr>
          <w:b/>
        </w:rPr>
        <w:t>Holy Cross</w:t>
      </w:r>
      <w:r>
        <w:t xml:space="preserve"> monitoring site </w:t>
      </w:r>
      <w:r w:rsidR="00F843B3">
        <w:t xml:space="preserve">near Vail, CO </w:t>
      </w:r>
      <w:r>
        <w:t xml:space="preserve">as a replacement for the former </w:t>
      </w:r>
      <w:r w:rsidRPr="00661168">
        <w:t>Wilson</w:t>
      </w:r>
      <w:r>
        <w:t xml:space="preserve"> site and a new site at </w:t>
      </w:r>
      <w:proofErr w:type="spellStart"/>
      <w:r w:rsidRPr="00F62876">
        <w:rPr>
          <w:b/>
        </w:rPr>
        <w:t>Deadman</w:t>
      </w:r>
      <w:proofErr w:type="spellEnd"/>
      <w:r w:rsidRPr="00F62876">
        <w:rPr>
          <w:b/>
        </w:rPr>
        <w:t xml:space="preserve"> Pass</w:t>
      </w:r>
      <w:r w:rsidR="00F843B3">
        <w:t xml:space="preserve"> northwest of Fort Collins, CO</w:t>
      </w:r>
      <w:r>
        <w:t>.  A third new US</w:t>
      </w:r>
      <w:r w:rsidR="00F843B3">
        <w:t xml:space="preserve">FS site is planned for </w:t>
      </w:r>
      <w:r w:rsidR="00F843B3" w:rsidRPr="00F62876">
        <w:rPr>
          <w:b/>
        </w:rPr>
        <w:t>Snowbird</w:t>
      </w:r>
      <w:r w:rsidR="00F843B3">
        <w:t xml:space="preserve">, UT. In addition, the Desert Research Institute has announced plans to begin ozone monitoring at its </w:t>
      </w:r>
      <w:r w:rsidR="00F843B3" w:rsidRPr="00F62876">
        <w:rPr>
          <w:b/>
        </w:rPr>
        <w:t>Storm Peak</w:t>
      </w:r>
      <w:r w:rsidR="00F843B3">
        <w:t xml:space="preserve"> high altitude observatory at Steamboat Springs. </w:t>
      </w:r>
    </w:p>
    <w:p w:rsidR="00ED0FCE" w:rsidRDefault="00ED0FCE" w:rsidP="00ED0FCE">
      <w:pPr>
        <w:pStyle w:val="ReportHeading4"/>
      </w:pPr>
      <w:r>
        <w:t>Fruitland, Price and Escalante</w:t>
      </w:r>
    </w:p>
    <w:p w:rsidR="00ED0FCE" w:rsidRDefault="00ED0FCE" w:rsidP="00ED0FCE">
      <w:pPr>
        <w:rPr>
          <w:sz w:val="24"/>
          <w:szCs w:val="24"/>
        </w:rPr>
      </w:pPr>
      <w:r>
        <w:rPr>
          <w:sz w:val="24"/>
          <w:szCs w:val="24"/>
        </w:rPr>
        <w:t>There is agreement amon</w:t>
      </w:r>
      <w:r w:rsidR="00FB2D2A">
        <w:rPr>
          <w:sz w:val="24"/>
          <w:szCs w:val="24"/>
        </w:rPr>
        <w:t xml:space="preserve">g Working Group members that continued monitoring at </w:t>
      </w:r>
      <w:r w:rsidR="00FB2D2A" w:rsidRPr="00F62876">
        <w:rPr>
          <w:b/>
          <w:sz w:val="24"/>
          <w:szCs w:val="24"/>
        </w:rPr>
        <w:t>Fruitland</w:t>
      </w:r>
      <w:r w:rsidR="00FB2D2A">
        <w:rPr>
          <w:sz w:val="24"/>
          <w:szCs w:val="24"/>
        </w:rPr>
        <w:t xml:space="preserve">, </w:t>
      </w:r>
      <w:r w:rsidR="00FB2D2A" w:rsidRPr="00F62876">
        <w:rPr>
          <w:b/>
          <w:sz w:val="24"/>
          <w:szCs w:val="24"/>
        </w:rPr>
        <w:t>Price</w:t>
      </w:r>
      <w:r w:rsidR="00FB2D2A">
        <w:rPr>
          <w:sz w:val="24"/>
          <w:szCs w:val="24"/>
        </w:rPr>
        <w:t xml:space="preserve"> and </w:t>
      </w:r>
      <w:r w:rsidR="00FB2D2A" w:rsidRPr="00F62876">
        <w:rPr>
          <w:b/>
          <w:sz w:val="24"/>
          <w:szCs w:val="24"/>
        </w:rPr>
        <w:t>Escalante</w:t>
      </w:r>
      <w:r w:rsidR="00FB2D2A">
        <w:rPr>
          <w:sz w:val="24"/>
          <w:szCs w:val="24"/>
        </w:rPr>
        <w:t xml:space="preserve"> would be of high value to the 3SAQS.  </w:t>
      </w:r>
      <w:r w:rsidR="00FB2D2A" w:rsidRPr="00F62876">
        <w:rPr>
          <w:b/>
          <w:sz w:val="24"/>
          <w:szCs w:val="24"/>
        </w:rPr>
        <w:t>Fruitland</w:t>
      </w:r>
      <w:r w:rsidR="00FB2D2A">
        <w:rPr>
          <w:sz w:val="24"/>
          <w:szCs w:val="24"/>
        </w:rPr>
        <w:t xml:space="preserve"> and </w:t>
      </w:r>
      <w:r w:rsidR="00FB2D2A" w:rsidRPr="00F62876">
        <w:rPr>
          <w:b/>
          <w:sz w:val="24"/>
          <w:szCs w:val="24"/>
        </w:rPr>
        <w:t>Price</w:t>
      </w:r>
      <w:r w:rsidR="00FB2D2A">
        <w:rPr>
          <w:sz w:val="24"/>
          <w:szCs w:val="24"/>
        </w:rPr>
        <w:t xml:space="preserve"> are currently being operated by UDAQ using (at least in part) 3SAQS Pilot Study funding.  Based on discussions between NPS, UT BLM and UDAQ, operations at all three sites could be continued via a combination of contractor assistance </w:t>
      </w:r>
      <w:r w:rsidR="008D3FEB">
        <w:rPr>
          <w:sz w:val="24"/>
          <w:szCs w:val="24"/>
        </w:rPr>
        <w:t xml:space="preserve">and some agency funding </w:t>
      </w:r>
      <w:r w:rsidR="00FB2D2A">
        <w:rPr>
          <w:sz w:val="24"/>
          <w:szCs w:val="24"/>
        </w:rPr>
        <w:t xml:space="preserve">provided by 3SAQS and in-kind resources provided by UT BLM and UDAQ.  Under this arrangement, </w:t>
      </w:r>
      <w:r w:rsidR="008D3FEB">
        <w:rPr>
          <w:sz w:val="24"/>
          <w:szCs w:val="24"/>
        </w:rPr>
        <w:t xml:space="preserve">site operations would be taken over by UT BLM: </w:t>
      </w:r>
      <w:r w:rsidR="00FB2D2A">
        <w:rPr>
          <w:sz w:val="24"/>
          <w:szCs w:val="24"/>
        </w:rPr>
        <w:t xml:space="preserve">UT BLM would conduct monthly site visits and perform at least weekly data downloads and QA checks.  </w:t>
      </w:r>
      <w:r w:rsidR="004623AD">
        <w:rPr>
          <w:sz w:val="24"/>
          <w:szCs w:val="24"/>
        </w:rPr>
        <w:t xml:space="preserve">UDAQ would continue to provide rent, utilities and data links that they have been paying for up to this point.  </w:t>
      </w:r>
      <w:r w:rsidR="008D3FEB" w:rsidRPr="008D3FEB">
        <w:rPr>
          <w:sz w:val="24"/>
          <w:szCs w:val="24"/>
        </w:rPr>
        <w:t xml:space="preserve">UDAQ </w:t>
      </w:r>
      <w:r w:rsidR="008D3FEB">
        <w:rPr>
          <w:sz w:val="24"/>
          <w:szCs w:val="24"/>
        </w:rPr>
        <w:t>would</w:t>
      </w:r>
      <w:r w:rsidR="008D3FEB" w:rsidRPr="008D3FEB">
        <w:rPr>
          <w:sz w:val="24"/>
          <w:szCs w:val="24"/>
        </w:rPr>
        <w:t xml:space="preserve"> provide UT BLM with technical support and advice, especially during the transition period</w:t>
      </w:r>
      <w:r w:rsidR="008D3FEB">
        <w:rPr>
          <w:sz w:val="24"/>
          <w:szCs w:val="24"/>
        </w:rPr>
        <w:t xml:space="preserve">.  UDAQ would also audit each site at least once per year and provide equipment maintenance services supported by 3SAQS funding.  </w:t>
      </w:r>
      <w:r w:rsidR="008D3FEB" w:rsidRPr="008D3FEB">
        <w:rPr>
          <w:sz w:val="24"/>
          <w:szCs w:val="24"/>
        </w:rPr>
        <w:t>Any required unscheduled site visits would be jointly coordinated between UDAQ and UT BLM</w:t>
      </w:r>
      <w:r w:rsidR="008D3FEB">
        <w:rPr>
          <w:sz w:val="24"/>
          <w:szCs w:val="24"/>
        </w:rPr>
        <w:t xml:space="preserve">.  </w:t>
      </w:r>
      <w:r w:rsidR="00FB2D2A">
        <w:rPr>
          <w:sz w:val="24"/>
          <w:szCs w:val="24"/>
        </w:rPr>
        <w:t xml:space="preserve">A contractor would be engaged </w:t>
      </w:r>
      <w:r w:rsidR="008D3FEB">
        <w:rPr>
          <w:sz w:val="24"/>
          <w:szCs w:val="24"/>
        </w:rPr>
        <w:t xml:space="preserve">by NPS </w:t>
      </w:r>
      <w:r w:rsidR="00FB2D2A">
        <w:rPr>
          <w:sz w:val="24"/>
          <w:szCs w:val="24"/>
        </w:rPr>
        <w:t xml:space="preserve">to perform </w:t>
      </w:r>
      <w:r w:rsidR="004623AD">
        <w:rPr>
          <w:sz w:val="24"/>
          <w:szCs w:val="24"/>
        </w:rPr>
        <w:t xml:space="preserve">data uploading to AQS.  </w:t>
      </w:r>
    </w:p>
    <w:p w:rsidR="004623AD" w:rsidRDefault="004623AD" w:rsidP="00DF7848">
      <w:pPr>
        <w:pStyle w:val="ReportHeading4"/>
      </w:pPr>
      <w:r>
        <w:t>Converse Count</w:t>
      </w:r>
      <w:r w:rsidR="00DF7848">
        <w:t>y</w:t>
      </w:r>
      <w:r>
        <w:t>, WY</w:t>
      </w:r>
    </w:p>
    <w:p w:rsidR="00301550" w:rsidRDefault="004623AD" w:rsidP="00ED0FCE">
      <w:pPr>
        <w:rPr>
          <w:sz w:val="24"/>
          <w:szCs w:val="24"/>
        </w:rPr>
      </w:pPr>
      <w:r>
        <w:rPr>
          <w:sz w:val="24"/>
          <w:szCs w:val="24"/>
        </w:rPr>
        <w:t xml:space="preserve">WDEQ has been conducting monitoring in </w:t>
      </w:r>
      <w:r w:rsidRPr="00F62876">
        <w:rPr>
          <w:b/>
          <w:sz w:val="24"/>
          <w:szCs w:val="24"/>
        </w:rPr>
        <w:t>Converse County</w:t>
      </w:r>
      <w:r>
        <w:rPr>
          <w:sz w:val="24"/>
          <w:szCs w:val="24"/>
        </w:rPr>
        <w:t xml:space="preserve"> using a mobile trailer via agreement with University of Wyoming.  This arrangement is currently scheduled to continue through August, 2014.  </w:t>
      </w:r>
      <w:r w:rsidR="00301550">
        <w:rPr>
          <w:sz w:val="24"/>
          <w:szCs w:val="24"/>
        </w:rPr>
        <w:t xml:space="preserve">Data meets FEM criteria but is not being reported to AQS.  </w:t>
      </w:r>
      <w:r w:rsidR="00DF7848">
        <w:rPr>
          <w:sz w:val="24"/>
          <w:szCs w:val="24"/>
        </w:rPr>
        <w:t xml:space="preserve">WDEQ and WY BLM anticipate that air quality monitoring will continue in this area beyond August given the need to monitor impact of existing and planned future development.  The Working Group anticipates that continued monitoring will not require 3SAQS funding. </w:t>
      </w:r>
      <w:r w:rsidR="00301550">
        <w:rPr>
          <w:sz w:val="24"/>
          <w:szCs w:val="24"/>
        </w:rPr>
        <w:t xml:space="preserve">WDEQ and WY BLM have agreed to provide monitoring data to the 3SAQS.  </w:t>
      </w:r>
    </w:p>
    <w:p w:rsidR="00301550" w:rsidRDefault="00301550" w:rsidP="00301550">
      <w:pPr>
        <w:pStyle w:val="ReportHeading4"/>
      </w:pPr>
      <w:r>
        <w:t>Hiawatha</w:t>
      </w:r>
    </w:p>
    <w:p w:rsidR="00301550" w:rsidRDefault="00301550" w:rsidP="00ED0FCE">
      <w:pPr>
        <w:rPr>
          <w:sz w:val="24"/>
          <w:szCs w:val="24"/>
        </w:rPr>
      </w:pPr>
      <w:r>
        <w:rPr>
          <w:sz w:val="24"/>
          <w:szCs w:val="24"/>
        </w:rPr>
        <w:t xml:space="preserve">Current funding for </w:t>
      </w:r>
      <w:r w:rsidRPr="00F62876">
        <w:rPr>
          <w:b/>
          <w:sz w:val="24"/>
          <w:szCs w:val="24"/>
        </w:rPr>
        <w:t>Hiawatha</w:t>
      </w:r>
      <w:r>
        <w:rPr>
          <w:sz w:val="24"/>
          <w:szCs w:val="24"/>
        </w:rPr>
        <w:t xml:space="preserve"> may end in March, 2014 pending final budget vote by the Wyoming legislature.  The Working Group feels that continued monitoring at </w:t>
      </w:r>
      <w:r w:rsidRPr="00F62876">
        <w:rPr>
          <w:b/>
          <w:sz w:val="24"/>
          <w:szCs w:val="24"/>
        </w:rPr>
        <w:t>Hiawatha</w:t>
      </w:r>
      <w:r>
        <w:rPr>
          <w:sz w:val="24"/>
          <w:szCs w:val="24"/>
        </w:rPr>
        <w:t xml:space="preserve"> is a high priority.  Given the uncertainty about future funding by WY DEQ, the Working Group has decided that the 3SAQS budget should include a contingency calling for monitoring to be continued at </w:t>
      </w:r>
      <w:r w:rsidRPr="00F62876">
        <w:rPr>
          <w:b/>
          <w:sz w:val="24"/>
          <w:szCs w:val="24"/>
        </w:rPr>
        <w:t>Hiawatha</w:t>
      </w:r>
      <w:r>
        <w:rPr>
          <w:sz w:val="24"/>
          <w:szCs w:val="24"/>
        </w:rPr>
        <w:t xml:space="preserve"> in lieu of 3SAQS funding for a different monitoring location </w:t>
      </w:r>
      <w:r w:rsidR="00555A6A">
        <w:rPr>
          <w:sz w:val="24"/>
          <w:szCs w:val="24"/>
        </w:rPr>
        <w:t xml:space="preserve">included in the final recommendations.  </w:t>
      </w:r>
      <w:r>
        <w:rPr>
          <w:sz w:val="24"/>
          <w:szCs w:val="24"/>
        </w:rPr>
        <w:t xml:space="preserve">  </w:t>
      </w:r>
    </w:p>
    <w:p w:rsidR="004623AD" w:rsidRDefault="00301550" w:rsidP="00301550">
      <w:pPr>
        <w:pStyle w:val="ReportHeading4"/>
      </w:pPr>
      <w:r>
        <w:t xml:space="preserve">VOC Monitoring at </w:t>
      </w:r>
      <w:proofErr w:type="spellStart"/>
      <w:r>
        <w:t>Wamsutter</w:t>
      </w:r>
      <w:proofErr w:type="spellEnd"/>
    </w:p>
    <w:p w:rsidR="00301550" w:rsidRDefault="00301550" w:rsidP="00301550">
      <w:r>
        <w:t xml:space="preserve">WYDEQ has sufficient funding to continue VOC monitoring at </w:t>
      </w:r>
      <w:proofErr w:type="spellStart"/>
      <w:r w:rsidRPr="00F62876">
        <w:rPr>
          <w:b/>
        </w:rPr>
        <w:t>Wamsutter</w:t>
      </w:r>
      <w:proofErr w:type="spellEnd"/>
      <w:r>
        <w:t xml:space="preserve"> </w:t>
      </w:r>
      <w:proofErr w:type="gramStart"/>
      <w:r w:rsidR="00253655">
        <w:t xml:space="preserve">through </w:t>
      </w:r>
      <w:r w:rsidR="00724698">
        <w:t xml:space="preserve"> March</w:t>
      </w:r>
      <w:proofErr w:type="gramEnd"/>
      <w:r w:rsidR="00724698">
        <w:t xml:space="preserve"> 2015.  A decision about continuation of this monitoring activity can be made at a later date based on available funding, results of a review of data collected thus far and evaluation of other monitoring priorities. </w:t>
      </w:r>
    </w:p>
    <w:p w:rsidR="00724698" w:rsidRDefault="00724698" w:rsidP="00352F64">
      <w:pPr>
        <w:pStyle w:val="ReportHeading4"/>
      </w:pPr>
      <w:r>
        <w:lastRenderedPageBreak/>
        <w:t>Riverton</w:t>
      </w:r>
    </w:p>
    <w:p w:rsidR="00352F64" w:rsidRDefault="00B76716" w:rsidP="00301550">
      <w:r>
        <w:t>Current u</w:t>
      </w:r>
      <w:r w:rsidR="00724698">
        <w:t>ncer</w:t>
      </w:r>
      <w:r>
        <w:t xml:space="preserve">tainties regarding tribal land jurisdictions preclude additional monitoring in the </w:t>
      </w:r>
      <w:r w:rsidRPr="00F62876">
        <w:rPr>
          <w:b/>
        </w:rPr>
        <w:t>Riverton</w:t>
      </w:r>
      <w:r>
        <w:t xml:space="preserve"> area by WY DEQ or federal agencies.  The Working Group suggests that the best avenue towards siting an ozone monitor in this area would be to work with the tribes to add ozone to their current air monitoring activities.  </w:t>
      </w:r>
    </w:p>
    <w:p w:rsidR="00724698" w:rsidRPr="00661168" w:rsidRDefault="00B76716" w:rsidP="00352F64">
      <w:pPr>
        <w:ind w:left="720"/>
        <w:rPr>
          <w:i/>
        </w:rPr>
      </w:pPr>
      <w:r w:rsidRPr="00661168">
        <w:rPr>
          <w:i/>
        </w:rPr>
        <w:t xml:space="preserve">Gail Tonnesen </w:t>
      </w:r>
      <w:r w:rsidR="00352F64" w:rsidRPr="00661168">
        <w:rPr>
          <w:i/>
        </w:rPr>
        <w:t xml:space="preserve">will seek further information on future tribal monitoring plans. </w:t>
      </w:r>
    </w:p>
    <w:p w:rsidR="00DF7848" w:rsidRDefault="00DF7848" w:rsidP="00ED0FCE">
      <w:pPr>
        <w:rPr>
          <w:sz w:val="24"/>
          <w:szCs w:val="24"/>
        </w:rPr>
      </w:pPr>
    </w:p>
    <w:p w:rsidR="00A25BC1" w:rsidRDefault="00A25BC1" w:rsidP="00ED0FCE">
      <w:pPr>
        <w:rPr>
          <w:sz w:val="24"/>
          <w:szCs w:val="24"/>
        </w:rPr>
      </w:pPr>
      <w:r>
        <w:rPr>
          <w:sz w:val="24"/>
          <w:szCs w:val="24"/>
        </w:rPr>
        <w:br w:type="page"/>
      </w:r>
    </w:p>
    <w:p w:rsidR="00A25BC1" w:rsidRDefault="00A25BC1" w:rsidP="00ED0FCE">
      <w:pPr>
        <w:rPr>
          <w:sz w:val="24"/>
          <w:szCs w:val="24"/>
        </w:rPr>
      </w:pPr>
      <w:r>
        <w:rPr>
          <w:noProof/>
          <w:sz w:val="24"/>
          <w:szCs w:val="24"/>
        </w:rPr>
        <w:lastRenderedPageBreak/>
        <w:drawing>
          <wp:inline distT="0" distB="0" distL="0" distR="0" wp14:anchorId="37D0F271" wp14:editId="65F1B1EA">
            <wp:extent cx="5943600"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076700"/>
                    </a:xfrm>
                    <a:prstGeom prst="rect">
                      <a:avLst/>
                    </a:prstGeom>
                  </pic:spPr>
                </pic:pic>
              </a:graphicData>
            </a:graphic>
          </wp:inline>
        </w:drawing>
      </w:r>
      <w:r w:rsidR="00661168">
        <w:rPr>
          <w:sz w:val="24"/>
          <w:szCs w:val="24"/>
        </w:rPr>
        <w:t xml:space="preserve">Existing/potential monitoring site locations mentioned in this memo. </w:t>
      </w:r>
    </w:p>
    <w:sectPr w:rsidR="00A25BC1" w:rsidSect="00505504">
      <w:pgSz w:w="12240" w:h="15840" w:code="1"/>
      <w:pgMar w:top="360" w:right="1440" w:bottom="720"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70F"/>
    <w:multiLevelType w:val="hybridMultilevel"/>
    <w:tmpl w:val="D926FF66"/>
    <w:lvl w:ilvl="0" w:tplc="7332E25C">
      <w:start w:val="1"/>
      <w:numFmt w:val="bullet"/>
      <w:pStyle w:val="ReportBullet-Sub"/>
      <w:lvlText w:val="-"/>
      <w:lvlJc w:val="left"/>
      <w:pPr>
        <w:ind w:left="72" w:hanging="360"/>
      </w:pPr>
      <w:rPr>
        <w:rFonts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nsid w:val="526A7231"/>
    <w:multiLevelType w:val="hybridMultilevel"/>
    <w:tmpl w:val="5F0A9F8C"/>
    <w:lvl w:ilvl="0" w:tplc="3B267698">
      <w:start w:val="1"/>
      <w:numFmt w:val="bullet"/>
      <w:pStyle w:val="ReportBullet"/>
      <w:lvlText w:val=""/>
      <w:lvlJc w:val="left"/>
      <w:pPr>
        <w:tabs>
          <w:tab w:val="num" w:pos="504"/>
        </w:tabs>
        <w:ind w:left="504" w:hanging="360"/>
      </w:pPr>
      <w:rPr>
        <w:rFonts w:ascii="Symbol" w:hAnsi="Symbol" w:hint="default"/>
        <w:color w:val="000000"/>
        <w:sz w:val="20"/>
      </w:rPr>
    </w:lvl>
    <w:lvl w:ilvl="1" w:tplc="8E1A1530">
      <w:start w:val="1"/>
      <w:numFmt w:val="bullet"/>
      <w:lvlText w:val="-"/>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F07D2"/>
    <w:rsid w:val="0002152E"/>
    <w:rsid w:val="000221E0"/>
    <w:rsid w:val="00032160"/>
    <w:rsid w:val="000369F0"/>
    <w:rsid w:val="000557FC"/>
    <w:rsid w:val="000701C9"/>
    <w:rsid w:val="00096476"/>
    <w:rsid w:val="000C2178"/>
    <w:rsid w:val="000D1D22"/>
    <w:rsid w:val="00100299"/>
    <w:rsid w:val="00103BFB"/>
    <w:rsid w:val="00110517"/>
    <w:rsid w:val="001C20BD"/>
    <w:rsid w:val="001D1E8A"/>
    <w:rsid w:val="00253655"/>
    <w:rsid w:val="00287A8C"/>
    <w:rsid w:val="002A1CB7"/>
    <w:rsid w:val="002D251E"/>
    <w:rsid w:val="002E5D62"/>
    <w:rsid w:val="00301550"/>
    <w:rsid w:val="00352F64"/>
    <w:rsid w:val="00353EC8"/>
    <w:rsid w:val="00397DE0"/>
    <w:rsid w:val="003A5149"/>
    <w:rsid w:val="003F6E23"/>
    <w:rsid w:val="004058B1"/>
    <w:rsid w:val="00432434"/>
    <w:rsid w:val="00432D07"/>
    <w:rsid w:val="00445776"/>
    <w:rsid w:val="0044622C"/>
    <w:rsid w:val="004623AD"/>
    <w:rsid w:val="00474455"/>
    <w:rsid w:val="00484374"/>
    <w:rsid w:val="004D43C2"/>
    <w:rsid w:val="004D73DC"/>
    <w:rsid w:val="00502FB8"/>
    <w:rsid w:val="00505504"/>
    <w:rsid w:val="00524AD3"/>
    <w:rsid w:val="00555A6A"/>
    <w:rsid w:val="00572EB3"/>
    <w:rsid w:val="005A58A2"/>
    <w:rsid w:val="005C5BD3"/>
    <w:rsid w:val="005C760A"/>
    <w:rsid w:val="00651BC5"/>
    <w:rsid w:val="00660A14"/>
    <w:rsid w:val="00661168"/>
    <w:rsid w:val="006624A5"/>
    <w:rsid w:val="00665275"/>
    <w:rsid w:val="0069056D"/>
    <w:rsid w:val="006D64D3"/>
    <w:rsid w:val="006D73F8"/>
    <w:rsid w:val="00724698"/>
    <w:rsid w:val="00775703"/>
    <w:rsid w:val="007B2BF0"/>
    <w:rsid w:val="00801201"/>
    <w:rsid w:val="008165B9"/>
    <w:rsid w:val="008B7639"/>
    <w:rsid w:val="008D3A6D"/>
    <w:rsid w:val="008D3FEB"/>
    <w:rsid w:val="00932CCF"/>
    <w:rsid w:val="00990C00"/>
    <w:rsid w:val="009B4799"/>
    <w:rsid w:val="009D0711"/>
    <w:rsid w:val="009D5178"/>
    <w:rsid w:val="00A2482E"/>
    <w:rsid w:val="00A25BC1"/>
    <w:rsid w:val="00A36BE4"/>
    <w:rsid w:val="00A43DB8"/>
    <w:rsid w:val="00A65A0C"/>
    <w:rsid w:val="00A80167"/>
    <w:rsid w:val="00AB3023"/>
    <w:rsid w:val="00AE2CA2"/>
    <w:rsid w:val="00AE62B1"/>
    <w:rsid w:val="00AF19FC"/>
    <w:rsid w:val="00B76716"/>
    <w:rsid w:val="00B90A76"/>
    <w:rsid w:val="00BC02DE"/>
    <w:rsid w:val="00BC2C41"/>
    <w:rsid w:val="00BC7DEA"/>
    <w:rsid w:val="00BD6BED"/>
    <w:rsid w:val="00BF07D2"/>
    <w:rsid w:val="00C13E56"/>
    <w:rsid w:val="00C23995"/>
    <w:rsid w:val="00CB3A05"/>
    <w:rsid w:val="00D01806"/>
    <w:rsid w:val="00D171F8"/>
    <w:rsid w:val="00D451DD"/>
    <w:rsid w:val="00DA62DE"/>
    <w:rsid w:val="00DD0350"/>
    <w:rsid w:val="00DF7848"/>
    <w:rsid w:val="00E10743"/>
    <w:rsid w:val="00E5477F"/>
    <w:rsid w:val="00E55E30"/>
    <w:rsid w:val="00E85C1D"/>
    <w:rsid w:val="00EA6DE4"/>
    <w:rsid w:val="00ED0FCE"/>
    <w:rsid w:val="00ED4143"/>
    <w:rsid w:val="00EE35A0"/>
    <w:rsid w:val="00F00546"/>
    <w:rsid w:val="00F00932"/>
    <w:rsid w:val="00F62876"/>
    <w:rsid w:val="00F632B3"/>
    <w:rsid w:val="00F71F07"/>
    <w:rsid w:val="00F843B3"/>
    <w:rsid w:val="00FB2D2A"/>
    <w:rsid w:val="00FD577D"/>
    <w:rsid w:val="00FE67E4"/>
    <w:rsid w:val="00FE72A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14"/>
  </w:style>
  <w:style w:type="paragraph" w:styleId="Heading1">
    <w:name w:val="heading 1"/>
    <w:basedOn w:val="Normal"/>
    <w:next w:val="Normal"/>
    <w:link w:val="Heading1Char"/>
    <w:uiPriority w:val="9"/>
    <w:qFormat/>
    <w:rsid w:val="005A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8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A58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Text">
    <w:name w:val="Report Body Text"/>
    <w:basedOn w:val="Normal"/>
    <w:rsid w:val="005A58A2"/>
    <w:pPr>
      <w:spacing w:after="240" w:line="240" w:lineRule="auto"/>
    </w:pPr>
    <w:rPr>
      <w:rFonts w:eastAsia="Times New Roman" w:cs="Times New Roman"/>
      <w:snapToGrid w:val="0"/>
      <w:sz w:val="24"/>
      <w:szCs w:val="24"/>
    </w:rPr>
  </w:style>
  <w:style w:type="paragraph" w:customStyle="1" w:styleId="ReportBullet">
    <w:name w:val="Report Bullet"/>
    <w:basedOn w:val="Normal"/>
    <w:rsid w:val="005A58A2"/>
    <w:pPr>
      <w:numPr>
        <w:numId w:val="2"/>
      </w:numPr>
      <w:spacing w:after="60" w:line="240" w:lineRule="auto"/>
    </w:pPr>
    <w:rPr>
      <w:rFonts w:eastAsia="Times New Roman" w:cs="Times New Roman"/>
      <w:snapToGrid w:val="0"/>
      <w:sz w:val="24"/>
      <w:szCs w:val="24"/>
    </w:rPr>
  </w:style>
  <w:style w:type="paragraph" w:customStyle="1" w:styleId="ReportBulletLAST">
    <w:name w:val="Report Bullet LAST"/>
    <w:basedOn w:val="ReportBullet"/>
    <w:qFormat/>
    <w:rsid w:val="005A58A2"/>
    <w:pPr>
      <w:numPr>
        <w:numId w:val="0"/>
      </w:numPr>
      <w:spacing w:after="240"/>
    </w:pPr>
  </w:style>
  <w:style w:type="paragraph" w:customStyle="1" w:styleId="ReportBullet-Sub">
    <w:name w:val="Report Bullet-Sub"/>
    <w:basedOn w:val="Normal"/>
    <w:rsid w:val="005A58A2"/>
    <w:pPr>
      <w:numPr>
        <w:numId w:val="4"/>
      </w:numPr>
      <w:spacing w:after="60" w:line="240" w:lineRule="auto"/>
      <w:jc w:val="both"/>
    </w:pPr>
    <w:rPr>
      <w:rFonts w:eastAsia="Times New Roman" w:cs="Times New Roman"/>
      <w:snapToGrid w:val="0"/>
      <w:sz w:val="24"/>
      <w:szCs w:val="24"/>
    </w:rPr>
  </w:style>
  <w:style w:type="paragraph" w:customStyle="1" w:styleId="ReportBullet-SubLAST">
    <w:name w:val="Report Bullet-Sub LAST"/>
    <w:basedOn w:val="ReportBullet-Sub"/>
    <w:qFormat/>
    <w:rsid w:val="005A58A2"/>
    <w:pPr>
      <w:numPr>
        <w:numId w:val="0"/>
      </w:numPr>
      <w:spacing w:after="240"/>
    </w:pPr>
  </w:style>
  <w:style w:type="paragraph" w:customStyle="1" w:styleId="ReportTableCaption">
    <w:name w:val="Report Table Caption"/>
    <w:basedOn w:val="Normal"/>
    <w:qFormat/>
    <w:rsid w:val="005A58A2"/>
    <w:pPr>
      <w:tabs>
        <w:tab w:val="left" w:pos="900"/>
      </w:tabs>
      <w:spacing w:before="240" w:after="0" w:line="240" w:lineRule="exact"/>
    </w:pPr>
    <w:rPr>
      <w:rFonts w:eastAsia="Times New Roman" w:cs="Times New Roman"/>
      <w:b/>
      <w:snapToGrid w:val="0"/>
      <w:sz w:val="24"/>
      <w:szCs w:val="24"/>
    </w:rPr>
  </w:style>
  <w:style w:type="paragraph" w:customStyle="1" w:styleId="ReportFigureCaption">
    <w:name w:val="Report Figure Caption"/>
    <w:basedOn w:val="ReportTableCaption"/>
    <w:qFormat/>
    <w:rsid w:val="005A58A2"/>
    <w:pPr>
      <w:spacing w:before="0" w:after="480"/>
    </w:pPr>
  </w:style>
  <w:style w:type="paragraph" w:customStyle="1" w:styleId="ReportFootnoteText">
    <w:name w:val="Report Footnote Text"/>
    <w:next w:val="Normal"/>
    <w:rsid w:val="005A58A2"/>
    <w:pPr>
      <w:widowControl w:val="0"/>
      <w:tabs>
        <w:tab w:val="left" w:pos="180"/>
      </w:tabs>
      <w:spacing w:after="0" w:line="240" w:lineRule="auto"/>
      <w:ind w:left="180" w:hanging="180"/>
    </w:pPr>
    <w:rPr>
      <w:rFonts w:ascii="Calibri" w:eastAsia="Times New Roman" w:hAnsi="Calibri" w:cs="Arial"/>
      <w:snapToGrid w:val="0"/>
      <w:sz w:val="18"/>
      <w:szCs w:val="18"/>
    </w:rPr>
  </w:style>
  <w:style w:type="paragraph" w:customStyle="1" w:styleId="ReportFootnoteTextSuperscript">
    <w:name w:val="Report Footnote Text Superscript"/>
    <w:basedOn w:val="ReportFootnoteText"/>
    <w:next w:val="ReportFootnoteText"/>
    <w:rsid w:val="005A58A2"/>
    <w:rPr>
      <w:vertAlign w:val="superscript"/>
    </w:rPr>
  </w:style>
  <w:style w:type="paragraph" w:customStyle="1" w:styleId="ReportTableNotes">
    <w:name w:val="Report Table Notes"/>
    <w:basedOn w:val="Normal"/>
    <w:autoRedefine/>
    <w:rsid w:val="005A58A2"/>
    <w:pPr>
      <w:spacing w:after="0" w:line="240" w:lineRule="auto"/>
    </w:pPr>
    <w:rPr>
      <w:rFonts w:eastAsia="Times New Roman" w:cs="Arial"/>
      <w:snapToGrid w:val="0"/>
      <w:sz w:val="18"/>
      <w:szCs w:val="16"/>
    </w:rPr>
  </w:style>
  <w:style w:type="paragraph" w:customStyle="1" w:styleId="ReportFootnotes">
    <w:name w:val="Report Footnotes"/>
    <w:basedOn w:val="ReportTableNotes"/>
    <w:qFormat/>
    <w:rsid w:val="005A58A2"/>
    <w:pPr>
      <w:tabs>
        <w:tab w:val="left" w:pos="360"/>
      </w:tabs>
      <w:spacing w:after="60"/>
    </w:pPr>
  </w:style>
  <w:style w:type="paragraph" w:customStyle="1" w:styleId="ReportFootnotes-Last">
    <w:name w:val="Report Footnotes - Last"/>
    <w:basedOn w:val="ReportFootnotes"/>
    <w:qFormat/>
    <w:rsid w:val="005A58A2"/>
    <w:pPr>
      <w:spacing w:after="360"/>
    </w:pPr>
    <w:rPr>
      <w:szCs w:val="18"/>
    </w:rPr>
  </w:style>
  <w:style w:type="paragraph" w:customStyle="1" w:styleId="ReportHeading1">
    <w:name w:val="Report Heading 1"/>
    <w:basedOn w:val="Heading1"/>
    <w:rsid w:val="005A58A2"/>
    <w:pPr>
      <w:keepLines w:val="0"/>
      <w:spacing w:before="0" w:after="120" w:line="240" w:lineRule="auto"/>
      <w:jc w:val="both"/>
    </w:pPr>
    <w:rPr>
      <w:rFonts w:asciiTheme="minorHAnsi" w:eastAsia="Times New Roman" w:hAnsiTheme="minorHAnsi" w:cs="Times New Roman"/>
      <w:snapToGrid w:val="0"/>
      <w:color w:val="auto"/>
      <w:sz w:val="32"/>
      <w:szCs w:val="20"/>
    </w:rPr>
  </w:style>
  <w:style w:type="character" w:customStyle="1" w:styleId="Heading1Char">
    <w:name w:val="Heading 1 Char"/>
    <w:basedOn w:val="DefaultParagraphFont"/>
    <w:link w:val="Heading1"/>
    <w:uiPriority w:val="9"/>
    <w:rsid w:val="005A58A2"/>
    <w:rPr>
      <w:rFonts w:asciiTheme="majorHAnsi" w:eastAsiaTheme="majorEastAsia" w:hAnsiTheme="majorHAnsi" w:cstheme="majorBidi"/>
      <w:b/>
      <w:bCs/>
      <w:color w:val="365F91" w:themeColor="accent1" w:themeShade="BF"/>
      <w:sz w:val="28"/>
      <w:szCs w:val="28"/>
    </w:rPr>
  </w:style>
  <w:style w:type="paragraph" w:customStyle="1" w:styleId="ReportHeading2">
    <w:name w:val="Report Heading 2"/>
    <w:basedOn w:val="Heading2"/>
    <w:rsid w:val="005A58A2"/>
    <w:pPr>
      <w:keepLines w:val="0"/>
      <w:tabs>
        <w:tab w:val="num" w:pos="540"/>
      </w:tabs>
      <w:spacing w:before="0" w:after="60" w:line="280" w:lineRule="exact"/>
    </w:pPr>
    <w:rPr>
      <w:rFonts w:asciiTheme="minorHAnsi" w:eastAsia="Times New Roman" w:hAnsiTheme="minorHAnsi" w:cs="Times New Roman"/>
      <w:caps/>
      <w:snapToGrid w:val="0"/>
      <w:color w:val="auto"/>
      <w:sz w:val="24"/>
      <w:szCs w:val="20"/>
    </w:rPr>
  </w:style>
  <w:style w:type="character" w:customStyle="1" w:styleId="Heading2Char">
    <w:name w:val="Heading 2 Char"/>
    <w:basedOn w:val="DefaultParagraphFont"/>
    <w:link w:val="Heading2"/>
    <w:uiPriority w:val="9"/>
    <w:semiHidden/>
    <w:rsid w:val="005A58A2"/>
    <w:rPr>
      <w:rFonts w:asciiTheme="majorHAnsi" w:eastAsiaTheme="majorEastAsia" w:hAnsiTheme="majorHAnsi" w:cstheme="majorBidi"/>
      <w:b/>
      <w:bCs/>
      <w:color w:val="4F81BD" w:themeColor="accent1"/>
      <w:sz w:val="26"/>
      <w:szCs w:val="26"/>
    </w:rPr>
  </w:style>
  <w:style w:type="paragraph" w:customStyle="1" w:styleId="ReportHeading4">
    <w:name w:val="Report Heading 4"/>
    <w:basedOn w:val="Heading4"/>
    <w:rsid w:val="005A58A2"/>
    <w:pPr>
      <w:keepLines w:val="0"/>
      <w:tabs>
        <w:tab w:val="left" w:pos="900"/>
      </w:tabs>
      <w:spacing w:before="0" w:after="60" w:line="240" w:lineRule="auto"/>
    </w:pPr>
    <w:rPr>
      <w:rFonts w:asciiTheme="minorHAnsi" w:eastAsia="Times New Roman" w:hAnsiTheme="minorHAnsi" w:cs="Times New Roman"/>
      <w:b w:val="0"/>
      <w:bCs w:val="0"/>
      <w:i w:val="0"/>
      <w:iCs w:val="0"/>
      <w:snapToGrid w:val="0"/>
      <w:color w:val="auto"/>
      <w:sz w:val="24"/>
      <w:u w:val="single"/>
    </w:rPr>
  </w:style>
  <w:style w:type="character" w:customStyle="1" w:styleId="Heading4Char">
    <w:name w:val="Heading 4 Char"/>
    <w:basedOn w:val="DefaultParagraphFont"/>
    <w:link w:val="Heading4"/>
    <w:uiPriority w:val="9"/>
    <w:semiHidden/>
    <w:rsid w:val="005A58A2"/>
    <w:rPr>
      <w:rFonts w:asciiTheme="majorHAnsi" w:eastAsiaTheme="majorEastAsia" w:hAnsiTheme="majorHAnsi" w:cstheme="majorBidi"/>
      <w:b/>
      <w:bCs/>
      <w:i/>
      <w:iCs/>
      <w:color w:val="4F81BD" w:themeColor="accent1"/>
    </w:rPr>
  </w:style>
  <w:style w:type="paragraph" w:customStyle="1" w:styleId="ReportHeading3">
    <w:name w:val="Report Heading 3"/>
    <w:basedOn w:val="ReportHeading4"/>
    <w:next w:val="Normal"/>
    <w:rsid w:val="005A58A2"/>
    <w:pPr>
      <w:tabs>
        <w:tab w:val="clear" w:pos="900"/>
        <w:tab w:val="left" w:pos="720"/>
      </w:tabs>
    </w:pPr>
    <w:rPr>
      <w:b/>
      <w:u w:val="none"/>
    </w:rPr>
  </w:style>
  <w:style w:type="paragraph" w:customStyle="1" w:styleId="ReportHeading5">
    <w:name w:val="Report Heading 5"/>
    <w:basedOn w:val="Normal"/>
    <w:qFormat/>
    <w:rsid w:val="005A58A2"/>
    <w:pPr>
      <w:keepNext/>
      <w:tabs>
        <w:tab w:val="left" w:pos="1080"/>
      </w:tabs>
      <w:spacing w:after="60" w:line="240" w:lineRule="auto"/>
      <w:outlineLvl w:val="3"/>
    </w:pPr>
    <w:rPr>
      <w:rFonts w:eastAsia="Times New Roman" w:cs="Times New Roman"/>
      <w:i/>
      <w:snapToGrid w:val="0"/>
      <w:sz w:val="24"/>
    </w:rPr>
  </w:style>
  <w:style w:type="paragraph" w:customStyle="1" w:styleId="ReportHeading6">
    <w:name w:val="Report Heading 6"/>
    <w:basedOn w:val="Normal"/>
    <w:qFormat/>
    <w:rsid w:val="005A58A2"/>
    <w:pPr>
      <w:keepNext/>
      <w:tabs>
        <w:tab w:val="left" w:pos="1260"/>
      </w:tabs>
      <w:spacing w:after="60" w:line="240" w:lineRule="auto"/>
      <w:outlineLvl w:val="3"/>
    </w:pPr>
    <w:rPr>
      <w:rFonts w:eastAsia="Times New Roman" w:cs="Times New Roman"/>
      <w:snapToGrid w:val="0"/>
    </w:rPr>
  </w:style>
  <w:style w:type="paragraph" w:customStyle="1" w:styleId="ReportReferences">
    <w:name w:val="Report References"/>
    <w:basedOn w:val="Normal"/>
    <w:qFormat/>
    <w:rsid w:val="005A58A2"/>
    <w:pPr>
      <w:spacing w:after="120" w:line="240" w:lineRule="auto"/>
      <w:ind w:left="720" w:hanging="720"/>
    </w:pPr>
    <w:rPr>
      <w:rFonts w:cs="Times New Roman"/>
      <w:snapToGrid w:val="0"/>
      <w:sz w:val="24"/>
      <w:szCs w:val="24"/>
    </w:rPr>
  </w:style>
  <w:style w:type="paragraph" w:customStyle="1" w:styleId="ReportSignatureBlock">
    <w:name w:val="Report Signature Block"/>
    <w:basedOn w:val="ReportBodyText"/>
    <w:rsid w:val="005A58A2"/>
    <w:pPr>
      <w:spacing w:after="0"/>
    </w:pPr>
    <w:rPr>
      <w:rFonts w:ascii="Arial" w:hAnsi="Arial"/>
      <w:sz w:val="22"/>
      <w:szCs w:val="20"/>
    </w:rPr>
  </w:style>
  <w:style w:type="paragraph" w:customStyle="1" w:styleId="ReportTitle">
    <w:name w:val="Report Title"/>
    <w:basedOn w:val="Normal"/>
    <w:rsid w:val="005A58A2"/>
    <w:pPr>
      <w:spacing w:after="0" w:line="240" w:lineRule="auto"/>
      <w:jc w:val="right"/>
    </w:pPr>
    <w:rPr>
      <w:rFonts w:ascii="Calibri" w:eastAsia="Times New Roman" w:hAnsi="Calibri" w:cs="Times New Roman"/>
      <w:snapToGrid w:val="0"/>
      <w:sz w:val="36"/>
      <w:szCs w:val="20"/>
    </w:rPr>
  </w:style>
  <w:style w:type="paragraph" w:customStyle="1" w:styleId="ReportSubtitle">
    <w:name w:val="Report Subtitle"/>
    <w:basedOn w:val="ReportTitle"/>
    <w:rsid w:val="005A58A2"/>
    <w:rPr>
      <w:sz w:val="28"/>
      <w:szCs w:val="24"/>
    </w:rPr>
  </w:style>
  <w:style w:type="paragraph" w:customStyle="1" w:styleId="ReportTableBodyText">
    <w:name w:val="Report Table Body Text"/>
    <w:basedOn w:val="Normal"/>
    <w:rsid w:val="005A58A2"/>
    <w:pPr>
      <w:spacing w:after="0" w:line="240" w:lineRule="exact"/>
    </w:pPr>
    <w:rPr>
      <w:rFonts w:ascii="Calibri" w:eastAsia="Times New Roman" w:hAnsi="Calibri" w:cs="Arial"/>
      <w:snapToGrid w:val="0"/>
      <w:sz w:val="20"/>
      <w:szCs w:val="18"/>
    </w:rPr>
  </w:style>
  <w:style w:type="paragraph" w:customStyle="1" w:styleId="ReportTableSub-Heading">
    <w:name w:val="Report Table Sub-Heading"/>
    <w:basedOn w:val="Normal"/>
    <w:rsid w:val="005A58A2"/>
    <w:pPr>
      <w:keepNext/>
      <w:keepLines/>
      <w:spacing w:after="0" w:line="240" w:lineRule="exact"/>
      <w:jc w:val="center"/>
    </w:pPr>
    <w:rPr>
      <w:rFonts w:eastAsia="Times New Roman" w:cs="Times New Roman"/>
      <w:b/>
      <w:snapToGrid w:val="0"/>
      <w:sz w:val="20"/>
      <w:szCs w:val="18"/>
    </w:rPr>
  </w:style>
  <w:style w:type="paragraph" w:customStyle="1" w:styleId="ReportTableHeading">
    <w:name w:val="Report Table Heading"/>
    <w:basedOn w:val="ReportTableSub-Heading"/>
    <w:qFormat/>
    <w:rsid w:val="005A58A2"/>
    <w:rPr>
      <w:szCs w:val="20"/>
    </w:rPr>
  </w:style>
  <w:style w:type="paragraph" w:customStyle="1" w:styleId="ReportTitlePageReportInfo">
    <w:name w:val="Report Title Page Report Info"/>
    <w:basedOn w:val="Normal"/>
    <w:rsid w:val="005A58A2"/>
    <w:pPr>
      <w:spacing w:after="0" w:line="240" w:lineRule="auto"/>
      <w:jc w:val="right"/>
    </w:pPr>
    <w:rPr>
      <w:rFonts w:ascii="Arial" w:eastAsia="Times New Roman" w:hAnsi="Arial" w:cs="Times New Roman"/>
      <w:b/>
      <w:bCs/>
      <w:snapToGrid w:val="0"/>
      <w:sz w:val="20"/>
      <w:szCs w:val="20"/>
    </w:rPr>
  </w:style>
  <w:style w:type="paragraph" w:customStyle="1" w:styleId="ReportTitlePageReportInfoSubHeadings">
    <w:name w:val="Report Title Page Report Info SubHeadings"/>
    <w:basedOn w:val="Normal"/>
    <w:rsid w:val="005A58A2"/>
    <w:pPr>
      <w:spacing w:before="240" w:after="0" w:line="240" w:lineRule="auto"/>
      <w:jc w:val="right"/>
    </w:pPr>
    <w:rPr>
      <w:rFonts w:ascii="Arial" w:eastAsia="Times New Roman" w:hAnsi="Arial" w:cs="Times New Roman"/>
      <w:snapToGrid w:val="0"/>
      <w:sz w:val="20"/>
      <w:szCs w:val="20"/>
    </w:rPr>
  </w:style>
  <w:style w:type="paragraph" w:customStyle="1" w:styleId="ReportTOCHeadingCONTENTS16PT">
    <w:name w:val="Report TOC Heading_CONTENTS 16PT"/>
    <w:basedOn w:val="Normal"/>
    <w:rsid w:val="005A58A2"/>
    <w:pPr>
      <w:spacing w:after="0" w:line="280" w:lineRule="exact"/>
    </w:pPr>
    <w:rPr>
      <w:rFonts w:ascii="Arial" w:eastAsia="Times New Roman" w:hAnsi="Arial" w:cs="Times New Roman"/>
      <w:b/>
      <w:bCs/>
      <w:snapToGrid w:val="0"/>
      <w:sz w:val="32"/>
      <w:szCs w:val="20"/>
    </w:rPr>
  </w:style>
  <w:style w:type="paragraph" w:customStyle="1" w:styleId="ReportTOCHeadings">
    <w:name w:val="Report TOC Headings"/>
    <w:basedOn w:val="Normal"/>
    <w:qFormat/>
    <w:rsid w:val="005A58A2"/>
    <w:pPr>
      <w:tabs>
        <w:tab w:val="right" w:pos="9180"/>
      </w:tabs>
      <w:spacing w:before="360" w:after="120" w:line="240" w:lineRule="auto"/>
      <w:ind w:right="1152"/>
    </w:pPr>
    <w:rPr>
      <w:rFonts w:ascii="Calibri" w:eastAsia="Times New Roman" w:hAnsi="Calibri" w:cs="Arial"/>
      <w:b/>
      <w:snapToGrid w:val="0"/>
      <w:sz w:val="24"/>
      <w:szCs w:val="24"/>
    </w:rPr>
  </w:style>
  <w:style w:type="paragraph" w:customStyle="1" w:styleId="ReportTOCPageHeader">
    <w:name w:val="Report TOC Page Header"/>
    <w:basedOn w:val="Normal"/>
    <w:rsid w:val="005A58A2"/>
    <w:pPr>
      <w:spacing w:after="0" w:line="280" w:lineRule="exact"/>
      <w:jc w:val="right"/>
    </w:pPr>
    <w:rPr>
      <w:rFonts w:ascii="Arial" w:eastAsia="Times New Roman" w:hAnsi="Arial" w:cs="Times New Roman"/>
      <w:b/>
      <w:snapToGrid w:val="0"/>
      <w:sz w:val="20"/>
      <w:szCs w:val="20"/>
    </w:rPr>
  </w:style>
  <w:style w:type="character" w:styleId="FootnoteReference">
    <w:name w:val="footnote reference"/>
    <w:basedOn w:val="DefaultParagraphFont"/>
    <w:uiPriority w:val="99"/>
    <w:rsid w:val="00A65A0C"/>
    <w:rPr>
      <w:vertAlign w:val="superscript"/>
    </w:rPr>
  </w:style>
  <w:style w:type="character" w:styleId="CommentReference">
    <w:name w:val="annotation reference"/>
    <w:basedOn w:val="DefaultParagraphFont"/>
    <w:uiPriority w:val="99"/>
    <w:semiHidden/>
    <w:unhideWhenUsed/>
    <w:rsid w:val="00D171F8"/>
    <w:rPr>
      <w:sz w:val="16"/>
      <w:szCs w:val="16"/>
    </w:rPr>
  </w:style>
  <w:style w:type="paragraph" w:styleId="CommentText">
    <w:name w:val="annotation text"/>
    <w:basedOn w:val="Normal"/>
    <w:link w:val="CommentTextChar"/>
    <w:uiPriority w:val="99"/>
    <w:semiHidden/>
    <w:unhideWhenUsed/>
    <w:rsid w:val="00D171F8"/>
    <w:pPr>
      <w:spacing w:line="240" w:lineRule="auto"/>
    </w:pPr>
    <w:rPr>
      <w:sz w:val="20"/>
      <w:szCs w:val="20"/>
    </w:rPr>
  </w:style>
  <w:style w:type="character" w:customStyle="1" w:styleId="CommentTextChar">
    <w:name w:val="Comment Text Char"/>
    <w:basedOn w:val="DefaultParagraphFont"/>
    <w:link w:val="CommentText"/>
    <w:uiPriority w:val="99"/>
    <w:semiHidden/>
    <w:rsid w:val="00D171F8"/>
    <w:rPr>
      <w:sz w:val="20"/>
      <w:szCs w:val="20"/>
    </w:rPr>
  </w:style>
  <w:style w:type="paragraph" w:styleId="CommentSubject">
    <w:name w:val="annotation subject"/>
    <w:basedOn w:val="CommentText"/>
    <w:next w:val="CommentText"/>
    <w:link w:val="CommentSubjectChar"/>
    <w:uiPriority w:val="99"/>
    <w:semiHidden/>
    <w:unhideWhenUsed/>
    <w:rsid w:val="00D171F8"/>
    <w:rPr>
      <w:b/>
      <w:bCs/>
    </w:rPr>
  </w:style>
  <w:style w:type="character" w:customStyle="1" w:styleId="CommentSubjectChar">
    <w:name w:val="Comment Subject Char"/>
    <w:basedOn w:val="CommentTextChar"/>
    <w:link w:val="CommentSubject"/>
    <w:uiPriority w:val="99"/>
    <w:semiHidden/>
    <w:rsid w:val="00D171F8"/>
    <w:rPr>
      <w:b/>
      <w:bCs/>
      <w:sz w:val="20"/>
      <w:szCs w:val="20"/>
    </w:rPr>
  </w:style>
  <w:style w:type="paragraph" w:styleId="BalloonText">
    <w:name w:val="Balloon Text"/>
    <w:basedOn w:val="Normal"/>
    <w:link w:val="BalloonTextChar"/>
    <w:uiPriority w:val="99"/>
    <w:semiHidden/>
    <w:unhideWhenUsed/>
    <w:rsid w:val="00D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F8"/>
    <w:rPr>
      <w:rFonts w:ascii="Tahoma" w:hAnsi="Tahoma" w:cs="Tahoma"/>
      <w:sz w:val="16"/>
      <w:szCs w:val="16"/>
    </w:rPr>
  </w:style>
  <w:style w:type="table" w:styleId="TableGrid">
    <w:name w:val="Table Grid"/>
    <w:basedOn w:val="TableNormal"/>
    <w:uiPriority w:val="59"/>
    <w:rsid w:val="000C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8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A58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Text">
    <w:name w:val="Report Body Text"/>
    <w:basedOn w:val="Normal"/>
    <w:rsid w:val="005A58A2"/>
    <w:pPr>
      <w:spacing w:after="240" w:line="240" w:lineRule="auto"/>
    </w:pPr>
    <w:rPr>
      <w:rFonts w:eastAsia="Times New Roman" w:cs="Times New Roman"/>
      <w:snapToGrid w:val="0"/>
      <w:sz w:val="24"/>
      <w:szCs w:val="24"/>
    </w:rPr>
  </w:style>
  <w:style w:type="paragraph" w:customStyle="1" w:styleId="ReportBullet">
    <w:name w:val="Report Bullet"/>
    <w:basedOn w:val="Normal"/>
    <w:rsid w:val="005A58A2"/>
    <w:pPr>
      <w:numPr>
        <w:numId w:val="2"/>
      </w:numPr>
      <w:spacing w:after="60" w:line="240" w:lineRule="auto"/>
    </w:pPr>
    <w:rPr>
      <w:rFonts w:eastAsia="Times New Roman" w:cs="Times New Roman"/>
      <w:snapToGrid w:val="0"/>
      <w:sz w:val="24"/>
      <w:szCs w:val="24"/>
    </w:rPr>
  </w:style>
  <w:style w:type="paragraph" w:customStyle="1" w:styleId="ReportBulletLAST">
    <w:name w:val="Report Bullet LAST"/>
    <w:basedOn w:val="ReportBullet"/>
    <w:qFormat/>
    <w:rsid w:val="005A58A2"/>
    <w:pPr>
      <w:numPr>
        <w:numId w:val="0"/>
      </w:numPr>
      <w:spacing w:after="240"/>
    </w:pPr>
  </w:style>
  <w:style w:type="paragraph" w:customStyle="1" w:styleId="ReportBullet-Sub">
    <w:name w:val="Report Bullet-Sub"/>
    <w:basedOn w:val="Normal"/>
    <w:rsid w:val="005A58A2"/>
    <w:pPr>
      <w:numPr>
        <w:numId w:val="4"/>
      </w:numPr>
      <w:spacing w:after="60" w:line="240" w:lineRule="auto"/>
      <w:jc w:val="both"/>
    </w:pPr>
    <w:rPr>
      <w:rFonts w:eastAsia="Times New Roman" w:cs="Times New Roman"/>
      <w:snapToGrid w:val="0"/>
      <w:sz w:val="24"/>
      <w:szCs w:val="24"/>
    </w:rPr>
  </w:style>
  <w:style w:type="paragraph" w:customStyle="1" w:styleId="ReportBullet-SubLAST">
    <w:name w:val="Report Bullet-Sub LAST"/>
    <w:basedOn w:val="ReportBullet-Sub"/>
    <w:qFormat/>
    <w:rsid w:val="005A58A2"/>
    <w:pPr>
      <w:numPr>
        <w:numId w:val="0"/>
      </w:numPr>
      <w:spacing w:after="240"/>
    </w:pPr>
  </w:style>
  <w:style w:type="paragraph" w:customStyle="1" w:styleId="ReportTableCaption">
    <w:name w:val="Report Table Caption"/>
    <w:basedOn w:val="Normal"/>
    <w:qFormat/>
    <w:rsid w:val="005A58A2"/>
    <w:pPr>
      <w:tabs>
        <w:tab w:val="left" w:pos="900"/>
      </w:tabs>
      <w:spacing w:before="240" w:after="0" w:line="240" w:lineRule="exact"/>
    </w:pPr>
    <w:rPr>
      <w:rFonts w:eastAsia="Times New Roman" w:cs="Times New Roman"/>
      <w:b/>
      <w:snapToGrid w:val="0"/>
      <w:sz w:val="24"/>
      <w:szCs w:val="24"/>
    </w:rPr>
  </w:style>
  <w:style w:type="paragraph" w:customStyle="1" w:styleId="ReportFigureCaption">
    <w:name w:val="Report Figure Caption"/>
    <w:basedOn w:val="ReportTableCaption"/>
    <w:qFormat/>
    <w:rsid w:val="005A58A2"/>
    <w:pPr>
      <w:spacing w:before="0" w:after="480"/>
    </w:pPr>
  </w:style>
  <w:style w:type="paragraph" w:customStyle="1" w:styleId="ReportFootnoteText">
    <w:name w:val="Report Footnote Text"/>
    <w:next w:val="Normal"/>
    <w:rsid w:val="005A58A2"/>
    <w:pPr>
      <w:widowControl w:val="0"/>
      <w:tabs>
        <w:tab w:val="left" w:pos="180"/>
      </w:tabs>
      <w:spacing w:after="0" w:line="240" w:lineRule="auto"/>
      <w:ind w:left="180" w:hanging="180"/>
    </w:pPr>
    <w:rPr>
      <w:rFonts w:ascii="Calibri" w:eastAsia="Times New Roman" w:hAnsi="Calibri" w:cs="Arial"/>
      <w:snapToGrid w:val="0"/>
      <w:sz w:val="18"/>
      <w:szCs w:val="18"/>
    </w:rPr>
  </w:style>
  <w:style w:type="paragraph" w:customStyle="1" w:styleId="ReportFootnoteTextSuperscript">
    <w:name w:val="Report Footnote Text Superscript"/>
    <w:basedOn w:val="ReportFootnoteText"/>
    <w:next w:val="ReportFootnoteText"/>
    <w:rsid w:val="005A58A2"/>
    <w:rPr>
      <w:vertAlign w:val="superscript"/>
    </w:rPr>
  </w:style>
  <w:style w:type="paragraph" w:customStyle="1" w:styleId="ReportTableNotes">
    <w:name w:val="Report Table Notes"/>
    <w:basedOn w:val="Normal"/>
    <w:autoRedefine/>
    <w:rsid w:val="005A58A2"/>
    <w:pPr>
      <w:spacing w:after="0" w:line="240" w:lineRule="auto"/>
    </w:pPr>
    <w:rPr>
      <w:rFonts w:eastAsia="Times New Roman" w:cs="Arial"/>
      <w:snapToGrid w:val="0"/>
      <w:sz w:val="18"/>
      <w:szCs w:val="16"/>
    </w:rPr>
  </w:style>
  <w:style w:type="paragraph" w:customStyle="1" w:styleId="ReportFootnotes">
    <w:name w:val="Report Footnotes"/>
    <w:basedOn w:val="ReportTableNotes"/>
    <w:qFormat/>
    <w:rsid w:val="005A58A2"/>
    <w:pPr>
      <w:tabs>
        <w:tab w:val="left" w:pos="360"/>
      </w:tabs>
      <w:spacing w:after="60"/>
    </w:pPr>
  </w:style>
  <w:style w:type="paragraph" w:customStyle="1" w:styleId="ReportFootnotes-Last">
    <w:name w:val="Report Footnotes - Last"/>
    <w:basedOn w:val="ReportFootnotes"/>
    <w:qFormat/>
    <w:rsid w:val="005A58A2"/>
    <w:pPr>
      <w:spacing w:after="360"/>
    </w:pPr>
    <w:rPr>
      <w:szCs w:val="18"/>
    </w:rPr>
  </w:style>
  <w:style w:type="paragraph" w:customStyle="1" w:styleId="ReportHeading1">
    <w:name w:val="Report Heading 1"/>
    <w:basedOn w:val="Heading1"/>
    <w:rsid w:val="005A58A2"/>
    <w:pPr>
      <w:keepLines w:val="0"/>
      <w:spacing w:before="0" w:after="120" w:line="240" w:lineRule="auto"/>
      <w:jc w:val="both"/>
    </w:pPr>
    <w:rPr>
      <w:rFonts w:asciiTheme="minorHAnsi" w:eastAsia="Times New Roman" w:hAnsiTheme="minorHAnsi" w:cs="Times New Roman"/>
      <w:snapToGrid w:val="0"/>
      <w:color w:val="auto"/>
      <w:sz w:val="32"/>
      <w:szCs w:val="20"/>
    </w:rPr>
  </w:style>
  <w:style w:type="character" w:customStyle="1" w:styleId="Heading1Char">
    <w:name w:val="Heading 1 Char"/>
    <w:basedOn w:val="DefaultParagraphFont"/>
    <w:link w:val="Heading1"/>
    <w:uiPriority w:val="9"/>
    <w:rsid w:val="005A58A2"/>
    <w:rPr>
      <w:rFonts w:asciiTheme="majorHAnsi" w:eastAsiaTheme="majorEastAsia" w:hAnsiTheme="majorHAnsi" w:cstheme="majorBidi"/>
      <w:b/>
      <w:bCs/>
      <w:color w:val="365F91" w:themeColor="accent1" w:themeShade="BF"/>
      <w:sz w:val="28"/>
      <w:szCs w:val="28"/>
    </w:rPr>
  </w:style>
  <w:style w:type="paragraph" w:customStyle="1" w:styleId="ReportHeading2">
    <w:name w:val="Report Heading 2"/>
    <w:basedOn w:val="Heading2"/>
    <w:rsid w:val="005A58A2"/>
    <w:pPr>
      <w:keepLines w:val="0"/>
      <w:tabs>
        <w:tab w:val="num" w:pos="540"/>
      </w:tabs>
      <w:spacing w:before="0" w:after="60" w:line="280" w:lineRule="exact"/>
    </w:pPr>
    <w:rPr>
      <w:rFonts w:asciiTheme="minorHAnsi" w:eastAsia="Times New Roman" w:hAnsiTheme="minorHAnsi" w:cs="Times New Roman"/>
      <w:caps/>
      <w:snapToGrid w:val="0"/>
      <w:color w:val="auto"/>
      <w:sz w:val="24"/>
      <w:szCs w:val="20"/>
    </w:rPr>
  </w:style>
  <w:style w:type="character" w:customStyle="1" w:styleId="Heading2Char">
    <w:name w:val="Heading 2 Char"/>
    <w:basedOn w:val="DefaultParagraphFont"/>
    <w:link w:val="Heading2"/>
    <w:uiPriority w:val="9"/>
    <w:semiHidden/>
    <w:rsid w:val="005A58A2"/>
    <w:rPr>
      <w:rFonts w:asciiTheme="majorHAnsi" w:eastAsiaTheme="majorEastAsia" w:hAnsiTheme="majorHAnsi" w:cstheme="majorBidi"/>
      <w:b/>
      <w:bCs/>
      <w:color w:val="4F81BD" w:themeColor="accent1"/>
      <w:sz w:val="26"/>
      <w:szCs w:val="26"/>
    </w:rPr>
  </w:style>
  <w:style w:type="paragraph" w:customStyle="1" w:styleId="ReportHeading4">
    <w:name w:val="Report Heading 4"/>
    <w:basedOn w:val="Heading4"/>
    <w:rsid w:val="005A58A2"/>
    <w:pPr>
      <w:keepLines w:val="0"/>
      <w:tabs>
        <w:tab w:val="left" w:pos="900"/>
      </w:tabs>
      <w:spacing w:before="0" w:after="60" w:line="240" w:lineRule="auto"/>
    </w:pPr>
    <w:rPr>
      <w:rFonts w:asciiTheme="minorHAnsi" w:eastAsia="Times New Roman" w:hAnsiTheme="minorHAnsi" w:cs="Times New Roman"/>
      <w:b w:val="0"/>
      <w:bCs w:val="0"/>
      <w:i w:val="0"/>
      <w:iCs w:val="0"/>
      <w:snapToGrid w:val="0"/>
      <w:color w:val="auto"/>
      <w:sz w:val="24"/>
      <w:u w:val="single"/>
    </w:rPr>
  </w:style>
  <w:style w:type="character" w:customStyle="1" w:styleId="Heading4Char">
    <w:name w:val="Heading 4 Char"/>
    <w:basedOn w:val="DefaultParagraphFont"/>
    <w:link w:val="Heading4"/>
    <w:uiPriority w:val="9"/>
    <w:semiHidden/>
    <w:rsid w:val="005A58A2"/>
    <w:rPr>
      <w:rFonts w:asciiTheme="majorHAnsi" w:eastAsiaTheme="majorEastAsia" w:hAnsiTheme="majorHAnsi" w:cstheme="majorBidi"/>
      <w:b/>
      <w:bCs/>
      <w:i/>
      <w:iCs/>
      <w:color w:val="4F81BD" w:themeColor="accent1"/>
    </w:rPr>
  </w:style>
  <w:style w:type="paragraph" w:customStyle="1" w:styleId="ReportHeading3">
    <w:name w:val="Report Heading 3"/>
    <w:basedOn w:val="ReportHeading4"/>
    <w:next w:val="Normal"/>
    <w:rsid w:val="005A58A2"/>
    <w:pPr>
      <w:tabs>
        <w:tab w:val="clear" w:pos="900"/>
        <w:tab w:val="left" w:pos="720"/>
      </w:tabs>
    </w:pPr>
    <w:rPr>
      <w:b/>
      <w:u w:val="none"/>
    </w:rPr>
  </w:style>
  <w:style w:type="paragraph" w:customStyle="1" w:styleId="ReportHeading5">
    <w:name w:val="Report Heading 5"/>
    <w:basedOn w:val="Normal"/>
    <w:qFormat/>
    <w:rsid w:val="005A58A2"/>
    <w:pPr>
      <w:keepNext/>
      <w:tabs>
        <w:tab w:val="left" w:pos="1080"/>
      </w:tabs>
      <w:spacing w:after="60" w:line="240" w:lineRule="auto"/>
      <w:outlineLvl w:val="3"/>
    </w:pPr>
    <w:rPr>
      <w:rFonts w:eastAsia="Times New Roman" w:cs="Times New Roman"/>
      <w:i/>
      <w:snapToGrid w:val="0"/>
      <w:sz w:val="24"/>
    </w:rPr>
  </w:style>
  <w:style w:type="paragraph" w:customStyle="1" w:styleId="ReportHeading6">
    <w:name w:val="Report Heading 6"/>
    <w:basedOn w:val="Normal"/>
    <w:qFormat/>
    <w:rsid w:val="005A58A2"/>
    <w:pPr>
      <w:keepNext/>
      <w:tabs>
        <w:tab w:val="left" w:pos="1260"/>
      </w:tabs>
      <w:spacing w:after="60" w:line="240" w:lineRule="auto"/>
      <w:outlineLvl w:val="3"/>
    </w:pPr>
    <w:rPr>
      <w:rFonts w:eastAsia="Times New Roman" w:cs="Times New Roman"/>
      <w:snapToGrid w:val="0"/>
    </w:rPr>
  </w:style>
  <w:style w:type="paragraph" w:customStyle="1" w:styleId="ReportReferences">
    <w:name w:val="Report References"/>
    <w:basedOn w:val="Normal"/>
    <w:qFormat/>
    <w:rsid w:val="005A58A2"/>
    <w:pPr>
      <w:spacing w:after="120" w:line="240" w:lineRule="auto"/>
      <w:ind w:left="720" w:hanging="720"/>
    </w:pPr>
    <w:rPr>
      <w:rFonts w:cs="Times New Roman"/>
      <w:snapToGrid w:val="0"/>
      <w:sz w:val="24"/>
      <w:szCs w:val="24"/>
    </w:rPr>
  </w:style>
  <w:style w:type="paragraph" w:customStyle="1" w:styleId="ReportSignatureBlock">
    <w:name w:val="Report Signature Block"/>
    <w:basedOn w:val="ReportBodyText"/>
    <w:rsid w:val="005A58A2"/>
    <w:pPr>
      <w:spacing w:after="0"/>
    </w:pPr>
    <w:rPr>
      <w:rFonts w:ascii="Arial" w:hAnsi="Arial"/>
      <w:sz w:val="22"/>
      <w:szCs w:val="20"/>
    </w:rPr>
  </w:style>
  <w:style w:type="paragraph" w:customStyle="1" w:styleId="ReportTitle">
    <w:name w:val="Report Title"/>
    <w:basedOn w:val="Normal"/>
    <w:rsid w:val="005A58A2"/>
    <w:pPr>
      <w:spacing w:after="0" w:line="240" w:lineRule="auto"/>
      <w:jc w:val="right"/>
    </w:pPr>
    <w:rPr>
      <w:rFonts w:ascii="Calibri" w:eastAsia="Times New Roman" w:hAnsi="Calibri" w:cs="Times New Roman"/>
      <w:snapToGrid w:val="0"/>
      <w:sz w:val="36"/>
      <w:szCs w:val="20"/>
    </w:rPr>
  </w:style>
  <w:style w:type="paragraph" w:customStyle="1" w:styleId="ReportSubtitle">
    <w:name w:val="Report Subtitle"/>
    <w:basedOn w:val="ReportTitle"/>
    <w:rsid w:val="005A58A2"/>
    <w:rPr>
      <w:sz w:val="28"/>
      <w:szCs w:val="24"/>
    </w:rPr>
  </w:style>
  <w:style w:type="paragraph" w:customStyle="1" w:styleId="ReportTableBodyText">
    <w:name w:val="Report Table Body Text"/>
    <w:basedOn w:val="Normal"/>
    <w:rsid w:val="005A58A2"/>
    <w:pPr>
      <w:spacing w:after="0" w:line="240" w:lineRule="exact"/>
    </w:pPr>
    <w:rPr>
      <w:rFonts w:ascii="Calibri" w:eastAsia="Times New Roman" w:hAnsi="Calibri" w:cs="Arial"/>
      <w:snapToGrid w:val="0"/>
      <w:sz w:val="20"/>
      <w:szCs w:val="18"/>
    </w:rPr>
  </w:style>
  <w:style w:type="paragraph" w:customStyle="1" w:styleId="ReportTableSub-Heading">
    <w:name w:val="Report Table Sub-Heading"/>
    <w:basedOn w:val="Normal"/>
    <w:rsid w:val="005A58A2"/>
    <w:pPr>
      <w:keepNext/>
      <w:keepLines/>
      <w:spacing w:after="0" w:line="240" w:lineRule="exact"/>
      <w:jc w:val="center"/>
    </w:pPr>
    <w:rPr>
      <w:rFonts w:eastAsia="Times New Roman" w:cs="Times New Roman"/>
      <w:b/>
      <w:snapToGrid w:val="0"/>
      <w:sz w:val="20"/>
      <w:szCs w:val="18"/>
    </w:rPr>
  </w:style>
  <w:style w:type="paragraph" w:customStyle="1" w:styleId="ReportTableHeading">
    <w:name w:val="Report Table Heading"/>
    <w:basedOn w:val="ReportTableSub-Heading"/>
    <w:qFormat/>
    <w:rsid w:val="005A58A2"/>
    <w:rPr>
      <w:szCs w:val="20"/>
    </w:rPr>
  </w:style>
  <w:style w:type="paragraph" w:customStyle="1" w:styleId="ReportTitlePageReportInfo">
    <w:name w:val="Report Title Page Report Info"/>
    <w:basedOn w:val="Normal"/>
    <w:rsid w:val="005A58A2"/>
    <w:pPr>
      <w:spacing w:after="0" w:line="240" w:lineRule="auto"/>
      <w:jc w:val="right"/>
    </w:pPr>
    <w:rPr>
      <w:rFonts w:ascii="Arial" w:eastAsia="Times New Roman" w:hAnsi="Arial" w:cs="Times New Roman"/>
      <w:b/>
      <w:bCs/>
      <w:snapToGrid w:val="0"/>
      <w:sz w:val="20"/>
      <w:szCs w:val="20"/>
    </w:rPr>
  </w:style>
  <w:style w:type="paragraph" w:customStyle="1" w:styleId="ReportTitlePageReportInfoSubHeadings">
    <w:name w:val="Report Title Page Report Info SubHeadings"/>
    <w:basedOn w:val="Normal"/>
    <w:rsid w:val="005A58A2"/>
    <w:pPr>
      <w:spacing w:before="240" w:after="0" w:line="240" w:lineRule="auto"/>
      <w:jc w:val="right"/>
    </w:pPr>
    <w:rPr>
      <w:rFonts w:ascii="Arial" w:eastAsia="Times New Roman" w:hAnsi="Arial" w:cs="Times New Roman"/>
      <w:snapToGrid w:val="0"/>
      <w:sz w:val="20"/>
      <w:szCs w:val="20"/>
    </w:rPr>
  </w:style>
  <w:style w:type="paragraph" w:customStyle="1" w:styleId="ReportTOCHeadingCONTENTS16PT">
    <w:name w:val="Report TOC Heading_CONTENTS 16PT"/>
    <w:basedOn w:val="Normal"/>
    <w:rsid w:val="005A58A2"/>
    <w:pPr>
      <w:spacing w:after="0" w:line="280" w:lineRule="exact"/>
    </w:pPr>
    <w:rPr>
      <w:rFonts w:ascii="Arial" w:eastAsia="Times New Roman" w:hAnsi="Arial" w:cs="Times New Roman"/>
      <w:b/>
      <w:bCs/>
      <w:snapToGrid w:val="0"/>
      <w:sz w:val="32"/>
      <w:szCs w:val="20"/>
    </w:rPr>
  </w:style>
  <w:style w:type="paragraph" w:customStyle="1" w:styleId="ReportTOCHeadings">
    <w:name w:val="Report TOC Headings"/>
    <w:basedOn w:val="Normal"/>
    <w:qFormat/>
    <w:rsid w:val="005A58A2"/>
    <w:pPr>
      <w:tabs>
        <w:tab w:val="right" w:pos="9180"/>
      </w:tabs>
      <w:spacing w:before="360" w:after="120" w:line="240" w:lineRule="auto"/>
      <w:ind w:right="1152"/>
    </w:pPr>
    <w:rPr>
      <w:rFonts w:ascii="Calibri" w:eastAsia="Times New Roman" w:hAnsi="Calibri" w:cs="Arial"/>
      <w:b/>
      <w:snapToGrid w:val="0"/>
      <w:sz w:val="24"/>
      <w:szCs w:val="24"/>
    </w:rPr>
  </w:style>
  <w:style w:type="paragraph" w:customStyle="1" w:styleId="ReportTOCPageHeader">
    <w:name w:val="Report TOC Page Header"/>
    <w:basedOn w:val="Normal"/>
    <w:rsid w:val="005A58A2"/>
    <w:pPr>
      <w:spacing w:after="0" w:line="280" w:lineRule="exact"/>
      <w:jc w:val="right"/>
    </w:pPr>
    <w:rPr>
      <w:rFonts w:ascii="Arial" w:eastAsia="Times New Roman" w:hAnsi="Arial" w:cs="Times New Roman"/>
      <w:b/>
      <w:snapToGrid w:val="0"/>
      <w:sz w:val="20"/>
      <w:szCs w:val="20"/>
    </w:rPr>
  </w:style>
  <w:style w:type="character" w:styleId="FootnoteReference">
    <w:name w:val="footnote reference"/>
    <w:basedOn w:val="DefaultParagraphFont"/>
    <w:uiPriority w:val="99"/>
    <w:rsid w:val="00A65A0C"/>
    <w:rPr>
      <w:vertAlign w:val="superscript"/>
    </w:rPr>
  </w:style>
  <w:style w:type="character" w:styleId="CommentReference">
    <w:name w:val="annotation reference"/>
    <w:basedOn w:val="DefaultParagraphFont"/>
    <w:uiPriority w:val="99"/>
    <w:semiHidden/>
    <w:unhideWhenUsed/>
    <w:rsid w:val="00D171F8"/>
    <w:rPr>
      <w:sz w:val="16"/>
      <w:szCs w:val="16"/>
    </w:rPr>
  </w:style>
  <w:style w:type="paragraph" w:styleId="CommentText">
    <w:name w:val="annotation text"/>
    <w:basedOn w:val="Normal"/>
    <w:link w:val="CommentTextChar"/>
    <w:uiPriority w:val="99"/>
    <w:semiHidden/>
    <w:unhideWhenUsed/>
    <w:rsid w:val="00D171F8"/>
    <w:pPr>
      <w:spacing w:line="240" w:lineRule="auto"/>
    </w:pPr>
    <w:rPr>
      <w:sz w:val="20"/>
      <w:szCs w:val="20"/>
    </w:rPr>
  </w:style>
  <w:style w:type="character" w:customStyle="1" w:styleId="CommentTextChar">
    <w:name w:val="Comment Text Char"/>
    <w:basedOn w:val="DefaultParagraphFont"/>
    <w:link w:val="CommentText"/>
    <w:uiPriority w:val="99"/>
    <w:semiHidden/>
    <w:rsid w:val="00D171F8"/>
    <w:rPr>
      <w:sz w:val="20"/>
      <w:szCs w:val="20"/>
    </w:rPr>
  </w:style>
  <w:style w:type="paragraph" w:styleId="CommentSubject">
    <w:name w:val="annotation subject"/>
    <w:basedOn w:val="CommentText"/>
    <w:next w:val="CommentText"/>
    <w:link w:val="CommentSubjectChar"/>
    <w:uiPriority w:val="99"/>
    <w:semiHidden/>
    <w:unhideWhenUsed/>
    <w:rsid w:val="00D171F8"/>
    <w:rPr>
      <w:b/>
      <w:bCs/>
    </w:rPr>
  </w:style>
  <w:style w:type="character" w:customStyle="1" w:styleId="CommentSubjectChar">
    <w:name w:val="Comment Subject Char"/>
    <w:basedOn w:val="CommentTextChar"/>
    <w:link w:val="CommentSubject"/>
    <w:uiPriority w:val="99"/>
    <w:semiHidden/>
    <w:rsid w:val="00D171F8"/>
    <w:rPr>
      <w:b/>
      <w:bCs/>
      <w:sz w:val="20"/>
      <w:szCs w:val="20"/>
    </w:rPr>
  </w:style>
  <w:style w:type="paragraph" w:styleId="BalloonText">
    <w:name w:val="Balloon Text"/>
    <w:basedOn w:val="Normal"/>
    <w:link w:val="BalloonTextChar"/>
    <w:uiPriority w:val="99"/>
    <w:semiHidden/>
    <w:unhideWhenUsed/>
    <w:rsid w:val="00D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F8"/>
    <w:rPr>
      <w:rFonts w:ascii="Tahoma" w:hAnsi="Tahoma" w:cs="Tahoma"/>
      <w:sz w:val="16"/>
      <w:szCs w:val="16"/>
    </w:rPr>
  </w:style>
  <w:style w:type="table" w:styleId="TableGrid">
    <w:name w:val="Table Grid"/>
    <w:basedOn w:val="TableNormal"/>
    <w:uiPriority w:val="59"/>
    <w:rsid w:val="000C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Stoeckenius</dc:creator>
  <cp:lastModifiedBy>Till Stoeckenius</cp:lastModifiedBy>
  <cp:revision>5</cp:revision>
  <dcterms:created xsi:type="dcterms:W3CDTF">2014-02-05T00:04:00Z</dcterms:created>
  <dcterms:modified xsi:type="dcterms:W3CDTF">2014-02-05T01:10:00Z</dcterms:modified>
</cp:coreProperties>
</file>