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41D78" w14:textId="5C183D17" w:rsidR="003533F8" w:rsidRPr="009C6FD1" w:rsidRDefault="008D0415" w:rsidP="008D0415">
      <w:pPr>
        <w:pStyle w:val="NoSpacing"/>
        <w:rPr>
          <w:b/>
        </w:rPr>
      </w:pPr>
      <w:r w:rsidRPr="009C6FD1">
        <w:rPr>
          <w:b/>
        </w:rPr>
        <w:t xml:space="preserve">Intermountain West Data Warehouse (IWDW) </w:t>
      </w:r>
      <w:r w:rsidR="00D05156">
        <w:rPr>
          <w:b/>
        </w:rPr>
        <w:t>Technical</w:t>
      </w:r>
      <w:r w:rsidR="007E5E97" w:rsidRPr="009C6FD1">
        <w:rPr>
          <w:b/>
        </w:rPr>
        <w:t xml:space="preserve"> C</w:t>
      </w:r>
      <w:r w:rsidRPr="009C6FD1">
        <w:rPr>
          <w:b/>
        </w:rPr>
        <w:t>ommittee</w:t>
      </w:r>
      <w:r w:rsidR="00CD0BE2" w:rsidRPr="009C6FD1">
        <w:rPr>
          <w:b/>
        </w:rPr>
        <w:t xml:space="preserve"> </w:t>
      </w:r>
    </w:p>
    <w:p w14:paraId="7F3EB0AF" w14:textId="42EC80C0" w:rsidR="00CD0BE2" w:rsidRPr="009C6FD1" w:rsidRDefault="006A1CEB" w:rsidP="008D0415">
      <w:pPr>
        <w:pStyle w:val="NoSpacing"/>
        <w:rPr>
          <w:b/>
        </w:rPr>
      </w:pPr>
      <w:r>
        <w:rPr>
          <w:b/>
        </w:rPr>
        <w:t xml:space="preserve">Date: </w:t>
      </w:r>
      <w:r w:rsidR="0082732B">
        <w:rPr>
          <w:b/>
        </w:rPr>
        <w:t xml:space="preserve">March </w:t>
      </w:r>
      <w:r w:rsidR="0025054A">
        <w:rPr>
          <w:b/>
        </w:rPr>
        <w:t>2</w:t>
      </w:r>
      <w:r w:rsidR="00A259EF">
        <w:rPr>
          <w:b/>
        </w:rPr>
        <w:t>2</w:t>
      </w:r>
      <w:r w:rsidR="00CD0BE2" w:rsidRPr="009C6FD1">
        <w:rPr>
          <w:b/>
        </w:rPr>
        <w:t>, 2016</w:t>
      </w:r>
    </w:p>
    <w:p w14:paraId="59BB8B50" w14:textId="77777777" w:rsidR="008D0415" w:rsidRDefault="008D0415" w:rsidP="008D0415">
      <w:pPr>
        <w:pStyle w:val="NoSpacing"/>
      </w:pPr>
    </w:p>
    <w:p w14:paraId="0ADC6CAF" w14:textId="77777777" w:rsidR="008D0415" w:rsidRPr="003559BA" w:rsidRDefault="008D0415" w:rsidP="008D0415">
      <w:pPr>
        <w:pStyle w:val="NoSpacing"/>
        <w:rPr>
          <w:b/>
        </w:rPr>
      </w:pPr>
      <w:r w:rsidRPr="003559BA">
        <w:rPr>
          <w:b/>
        </w:rPr>
        <w:t xml:space="preserve">Background: </w:t>
      </w:r>
      <w:r w:rsidRPr="003559BA">
        <w:rPr>
          <w:b/>
        </w:rPr>
        <w:tab/>
      </w:r>
    </w:p>
    <w:p w14:paraId="0C09C658" w14:textId="72D5EA4D" w:rsidR="00A259EF" w:rsidRPr="00A259EF" w:rsidRDefault="007E5E97" w:rsidP="008D0415">
      <w:pPr>
        <w:pStyle w:val="NoSpacing"/>
      </w:pPr>
      <w:r>
        <w:t xml:space="preserve">In 2011, </w:t>
      </w:r>
      <w:r w:rsidRPr="007E5E97">
        <w:rPr>
          <w:rFonts w:cs="Arial"/>
        </w:rPr>
        <w:t xml:space="preserve">the U.S. Environmental Protection Agency Region 8 Office (“EPA”); the Bureau of Land Management State Offices, Colorado, Wyoming and Utah (“BLM”); the U.S. Forest Service, Rocky </w:t>
      </w:r>
      <w:r w:rsidRPr="00144516">
        <w:rPr>
          <w:rFonts w:cs="Arial"/>
        </w:rPr>
        <w:t xml:space="preserve">Mountain Region, Intermountain Region, and Southwestern Region (“FS”); the National Park Service Intermountain Region (“NPS”); the Colorado Department of Public Health and Environment (“CDPHE”); the Wyoming Department of Environmental Quality (“WDEQ”); </w:t>
      </w:r>
      <w:r w:rsidR="00A259EF">
        <w:rPr>
          <w:rFonts w:cs="Arial"/>
        </w:rPr>
        <w:t xml:space="preserve">and </w:t>
      </w:r>
      <w:r w:rsidRPr="00144516">
        <w:rPr>
          <w:rFonts w:cs="Arial"/>
        </w:rPr>
        <w:t xml:space="preserve">the Utah Department of Environmental Quality (“UDEQ”) signed </w:t>
      </w:r>
      <w:r w:rsidR="00144516">
        <w:rPr>
          <w:rFonts w:cs="Arial"/>
        </w:rPr>
        <w:t>the</w:t>
      </w:r>
      <w:r w:rsidRPr="00144516">
        <w:t xml:space="preserve"> Memorandum of Understanding (MOU)</w:t>
      </w:r>
      <w:r w:rsidR="00144516">
        <w:t xml:space="preserve"> for the Three State Study</w:t>
      </w:r>
      <w:r w:rsidRPr="00144516">
        <w:t xml:space="preserve"> to </w:t>
      </w:r>
      <w:r w:rsidR="00B316A1">
        <w:t xml:space="preserve">collaboratively </w:t>
      </w:r>
      <w:r w:rsidRPr="00144516">
        <w:t>address the need to more efficiently and expeditiously collect air quality data</w:t>
      </w:r>
      <w:r w:rsidR="00144516" w:rsidRPr="00144516">
        <w:t xml:space="preserve"> and </w:t>
      </w:r>
      <w:r w:rsidR="00144516">
        <w:t xml:space="preserve">to </w:t>
      </w:r>
      <w:r w:rsidR="00144516" w:rsidRPr="00144516">
        <w:t>develop a data warehouse that</w:t>
      </w:r>
      <w:r w:rsidR="00144516">
        <w:t xml:space="preserve"> stores the</w:t>
      </w:r>
      <w:r w:rsidR="00144516" w:rsidRPr="00144516">
        <w:t xml:space="preserve"> data</w:t>
      </w:r>
      <w:r w:rsidRPr="00144516">
        <w:t xml:space="preserve"> </w:t>
      </w:r>
      <w:r w:rsidR="003559BA">
        <w:t>for</w:t>
      </w:r>
      <w:r w:rsidRPr="00144516">
        <w:t xml:space="preserve"> assess</w:t>
      </w:r>
      <w:r w:rsidR="003559BA">
        <w:t>ing</w:t>
      </w:r>
      <w:r w:rsidRPr="00144516">
        <w:t xml:space="preserve"> air quality issues in the inter-mountain west</w:t>
      </w:r>
      <w:r w:rsidR="00144516">
        <w:t xml:space="preserve"> region</w:t>
      </w:r>
      <w:r w:rsidRPr="00144516">
        <w:t>. T</w:t>
      </w:r>
      <w:r w:rsidRPr="00144516">
        <w:rPr>
          <w:rFonts w:cs="Arial"/>
        </w:rPr>
        <w:t>he Federal and State agency offices that are party to this MOU are hereinafter referred to as the “Cooperators.”</w:t>
      </w:r>
      <w:r w:rsidR="00144516">
        <w:rPr>
          <w:rFonts w:cs="Arial"/>
        </w:rPr>
        <w:t xml:space="preserve"> After the completion of the Three State </w:t>
      </w:r>
      <w:r w:rsidR="003559BA">
        <w:rPr>
          <w:rFonts w:cs="Arial"/>
        </w:rPr>
        <w:t>Study, the C</w:t>
      </w:r>
      <w:r w:rsidR="00144516">
        <w:rPr>
          <w:rFonts w:cs="Arial"/>
        </w:rPr>
        <w:t>ooperators signed another MOU for the Intermountain West Data Warehouse for Air Quality (IWDW</w:t>
      </w:r>
      <w:r w:rsidR="003559BA">
        <w:rPr>
          <w:rFonts w:cs="Arial"/>
        </w:rPr>
        <w:t>-</w:t>
      </w:r>
      <w:r w:rsidR="00144516">
        <w:rPr>
          <w:rFonts w:cs="Arial"/>
        </w:rPr>
        <w:t>AQ)</w:t>
      </w:r>
      <w:r w:rsidR="003559BA">
        <w:rPr>
          <w:rFonts w:cs="Arial"/>
        </w:rPr>
        <w:t xml:space="preserve"> in 2016</w:t>
      </w:r>
      <w:r w:rsidR="00144516">
        <w:rPr>
          <w:rFonts w:cs="Arial"/>
        </w:rPr>
        <w:t xml:space="preserve"> to continue the maintenance and operations of the air quality monitoring, air quality modeling, and data war</w:t>
      </w:r>
      <w:r w:rsidR="003559BA">
        <w:rPr>
          <w:rFonts w:cs="Arial"/>
        </w:rPr>
        <w:t>e</w:t>
      </w:r>
      <w:r w:rsidR="00144516">
        <w:rPr>
          <w:rFonts w:cs="Arial"/>
        </w:rPr>
        <w:t xml:space="preserve">house. </w:t>
      </w:r>
      <w:r w:rsidR="00A259EF">
        <w:rPr>
          <w:rFonts w:cs="Arial"/>
        </w:rPr>
        <w:t xml:space="preserve">In the continuation of the study, the study expanded to include </w:t>
      </w:r>
      <w:r w:rsidR="00A259EF" w:rsidRPr="007E5E97">
        <w:rPr>
          <w:rFonts w:cs="Arial"/>
        </w:rPr>
        <w:t>the Bureau of Land Management State Office</w:t>
      </w:r>
      <w:r w:rsidR="00A259EF">
        <w:rPr>
          <w:rFonts w:cs="Arial"/>
        </w:rPr>
        <w:t xml:space="preserve"> in</w:t>
      </w:r>
      <w:r w:rsidR="00A259EF" w:rsidRPr="007E5E97">
        <w:rPr>
          <w:rFonts w:cs="Arial"/>
        </w:rPr>
        <w:t xml:space="preserve"> New Mexico (“BLM”)</w:t>
      </w:r>
      <w:r w:rsidR="00A259EF">
        <w:rPr>
          <w:rFonts w:cs="Arial"/>
        </w:rPr>
        <w:t>;</w:t>
      </w:r>
      <w:r w:rsidR="00A259EF" w:rsidRPr="00144516">
        <w:rPr>
          <w:rFonts w:cs="Arial"/>
        </w:rPr>
        <w:t xml:space="preserve"> the Fish and Wildlife Service, Mountain-Prairie Region 6</w:t>
      </w:r>
      <w:r w:rsidR="00A259EF">
        <w:rPr>
          <w:rFonts w:cs="Arial"/>
        </w:rPr>
        <w:t xml:space="preserve"> (“FWS”); and </w:t>
      </w:r>
      <w:r w:rsidR="00A259EF" w:rsidRPr="00144516">
        <w:rPr>
          <w:rFonts w:cs="Arial"/>
        </w:rPr>
        <w:t>the New Mexico Environment Department (“NMED”)</w:t>
      </w:r>
      <w:r w:rsidR="00A259EF">
        <w:rPr>
          <w:rFonts w:cs="Arial"/>
        </w:rPr>
        <w:t xml:space="preserve"> as Cooperators.</w:t>
      </w:r>
    </w:p>
    <w:p w14:paraId="61276C39" w14:textId="77777777" w:rsidR="00A259EF" w:rsidRPr="00144516" w:rsidRDefault="00A259EF" w:rsidP="008D0415">
      <w:pPr>
        <w:pStyle w:val="NoSpacing"/>
      </w:pPr>
    </w:p>
    <w:p w14:paraId="3B9B9EC1" w14:textId="77777777" w:rsidR="003559BA" w:rsidRPr="006A1CEB" w:rsidRDefault="003559BA" w:rsidP="008D0415">
      <w:pPr>
        <w:pStyle w:val="NoSpacing"/>
      </w:pPr>
      <w:r>
        <w:t>T</w:t>
      </w:r>
      <w:r w:rsidR="00144516">
        <w:t>he Intermountain West Data Warehouse</w:t>
      </w:r>
      <w:r w:rsidR="007E5E97" w:rsidRPr="00144516">
        <w:t xml:space="preserve"> (</w:t>
      </w:r>
      <w:r>
        <w:t>IWDW</w:t>
      </w:r>
      <w:r w:rsidR="007E5E97" w:rsidRPr="00144516">
        <w:t>) is a repository of air quality data related</w:t>
      </w:r>
      <w:r>
        <w:t xml:space="preserve"> to ambient monitoring data, emission inventories, meteorology, air quality </w:t>
      </w:r>
      <w:r w:rsidR="007E5E97" w:rsidRPr="00144516">
        <w:t>modeling</w:t>
      </w:r>
      <w:r>
        <w:t xml:space="preserve"> inputs and output</w:t>
      </w:r>
      <w:r w:rsidR="007E5E97" w:rsidRPr="00144516">
        <w:t>,</w:t>
      </w:r>
      <w:r>
        <w:t xml:space="preserve"> and</w:t>
      </w:r>
      <w:r w:rsidR="007E5E97" w:rsidRPr="00144516">
        <w:t xml:space="preserve"> evaluation and visualization tools</w:t>
      </w:r>
      <w:r>
        <w:t xml:space="preserve">. The IWDW has been developed to accommodate the needs of the Cooperators for air quality </w:t>
      </w:r>
      <w:r w:rsidRPr="006A1CEB">
        <w:t xml:space="preserve">planning, including planning for the National Environmental Policy Act (NEPA) analyses. </w:t>
      </w:r>
      <w:r w:rsidR="00A1190C" w:rsidRPr="006A1CEB">
        <w:t>The data stored in the IWDW are available for use to the Cooperators and public for air quality projects.</w:t>
      </w:r>
    </w:p>
    <w:p w14:paraId="7F0EF0E9" w14:textId="77777777" w:rsidR="006A1CEB" w:rsidRPr="006A1CEB" w:rsidRDefault="006A1CEB" w:rsidP="008D0415">
      <w:pPr>
        <w:pStyle w:val="NoSpacing"/>
      </w:pPr>
    </w:p>
    <w:p w14:paraId="775E7C22" w14:textId="43EA916C" w:rsidR="006A1CEB" w:rsidRPr="006A1CEB" w:rsidRDefault="006A1CEB" w:rsidP="008D0415">
      <w:pPr>
        <w:pStyle w:val="NoSpacing"/>
        <w:rPr>
          <w:rFonts w:cs="Arial"/>
        </w:rPr>
      </w:pPr>
      <w:r w:rsidRPr="006A1CEB">
        <w:t xml:space="preserve">As outlined in the MOU, the Oversight Committee may </w:t>
      </w:r>
      <w:r w:rsidRPr="006A1CEB">
        <w:rPr>
          <w:rFonts w:cs="Arial"/>
        </w:rPr>
        <w:t>facilitate the creation of sub-workgroups on an ad hoc basis to address technical and operational questions. Based on the project needs, the Oversight Committee created a Technical Committee to support the project’s needs.</w:t>
      </w:r>
    </w:p>
    <w:p w14:paraId="7420CD65" w14:textId="77777777" w:rsidR="009C6FD1" w:rsidRDefault="009C6FD1" w:rsidP="009C6FD1">
      <w:pPr>
        <w:pStyle w:val="NoSpacing"/>
        <w:rPr>
          <w:b/>
        </w:rPr>
      </w:pPr>
    </w:p>
    <w:p w14:paraId="69EE402C" w14:textId="77777777" w:rsidR="009C6FD1" w:rsidRPr="00E02DB6" w:rsidRDefault="009C6FD1" w:rsidP="009C6FD1">
      <w:pPr>
        <w:pStyle w:val="NoSpacing"/>
      </w:pPr>
      <w:r w:rsidRPr="00E02DB6">
        <w:rPr>
          <w:b/>
        </w:rPr>
        <w:t>Purpose:</w:t>
      </w:r>
    </w:p>
    <w:p w14:paraId="5C262176" w14:textId="708D7D5B" w:rsidR="007E5E97" w:rsidRDefault="009C6FD1" w:rsidP="008D0415">
      <w:pPr>
        <w:pStyle w:val="NoSpacing"/>
      </w:pPr>
      <w:r>
        <w:t xml:space="preserve">This document </w:t>
      </w:r>
      <w:r w:rsidR="006A1CEB">
        <w:t>describes</w:t>
      </w:r>
      <w:r>
        <w:t xml:space="preserve"> the </w:t>
      </w:r>
      <w:r>
        <w:rPr>
          <w:rFonts w:eastAsia="Times New Roman" w:cs="Times New Roman"/>
        </w:rPr>
        <w:t xml:space="preserve">IWDW </w:t>
      </w:r>
      <w:r w:rsidR="00D05156">
        <w:rPr>
          <w:rFonts w:eastAsia="Times New Roman" w:cs="Times New Roman"/>
        </w:rPr>
        <w:t>Technical</w:t>
      </w:r>
      <w:r>
        <w:rPr>
          <w:rFonts w:eastAsia="Times New Roman" w:cs="Times New Roman"/>
        </w:rPr>
        <w:t xml:space="preserve"> Committee</w:t>
      </w:r>
      <w:r w:rsidR="006A1CEB">
        <w:rPr>
          <w:rFonts w:eastAsia="Times New Roman" w:cs="Times New Roman"/>
        </w:rPr>
        <w:t xml:space="preserve">, and </w:t>
      </w:r>
      <w:r>
        <w:rPr>
          <w:rFonts w:eastAsia="Times New Roman" w:cs="Times New Roman"/>
        </w:rPr>
        <w:t>outline</w:t>
      </w:r>
      <w:r w:rsidR="006A1CEB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the roles, goals, scope, communications, and participants of the committee.</w:t>
      </w:r>
    </w:p>
    <w:p w14:paraId="6633CCAE" w14:textId="77777777" w:rsidR="009C6FD1" w:rsidRDefault="009C6FD1" w:rsidP="008D0415">
      <w:pPr>
        <w:pStyle w:val="NoSpacing"/>
      </w:pPr>
    </w:p>
    <w:p w14:paraId="1FE6E4F2" w14:textId="77777777" w:rsidR="00181002" w:rsidRPr="00FD04E4" w:rsidRDefault="00181002" w:rsidP="00181002">
      <w:pPr>
        <w:pStyle w:val="NoSpacing"/>
        <w:rPr>
          <w:b/>
        </w:rPr>
      </w:pPr>
      <w:r w:rsidRPr="00FD04E4">
        <w:rPr>
          <w:b/>
        </w:rPr>
        <w:t>Goals:</w:t>
      </w:r>
    </w:p>
    <w:p w14:paraId="77E9C95D" w14:textId="51F52B79" w:rsidR="00181002" w:rsidRDefault="00181002" w:rsidP="00181002">
      <w:pPr>
        <w:pStyle w:val="NoSpacing"/>
        <w:rPr>
          <w:rFonts w:eastAsia="Times New Roman" w:cs="Times New Roman"/>
        </w:rPr>
      </w:pPr>
      <w:r w:rsidRPr="00FD04E4">
        <w:t xml:space="preserve">The goal of this committee is to review </w:t>
      </w:r>
      <w:r>
        <w:t xml:space="preserve">the operations and work products developed by the IWDW-AQ study to </w:t>
      </w:r>
      <w:r>
        <w:rPr>
          <w:rFonts w:eastAsia="Times New Roman" w:cs="Times New Roman"/>
        </w:rPr>
        <w:t>ensure that</w:t>
      </w:r>
      <w:r w:rsidR="0082732B">
        <w:rPr>
          <w:rFonts w:eastAsia="Times New Roman" w:cs="Times New Roman"/>
        </w:rPr>
        <w:t xml:space="preserve"> the</w:t>
      </w:r>
      <w:r>
        <w:rPr>
          <w:rFonts w:eastAsia="Times New Roman" w:cs="Times New Roman"/>
        </w:rPr>
        <w:t xml:space="preserve"> methodologies implemented in the monitoring, modeling, and</w:t>
      </w:r>
      <w:r w:rsidR="0082732B">
        <w:rPr>
          <w:rFonts w:eastAsia="Times New Roman" w:cs="Times New Roman"/>
        </w:rPr>
        <w:t xml:space="preserve"> data warehouse activities align with the Cooperators</w:t>
      </w:r>
      <w:r w:rsidR="00562EE7">
        <w:rPr>
          <w:rFonts w:eastAsia="Times New Roman" w:cs="Times New Roman"/>
        </w:rPr>
        <w:t>’</w:t>
      </w:r>
      <w:bookmarkStart w:id="0" w:name="_GoBack"/>
      <w:bookmarkEnd w:id="0"/>
      <w:r w:rsidR="0082732B">
        <w:rPr>
          <w:rFonts w:eastAsia="Times New Roman" w:cs="Times New Roman"/>
        </w:rPr>
        <w:t xml:space="preserve"> standards, and that </w:t>
      </w:r>
      <w:r>
        <w:rPr>
          <w:rFonts w:eastAsia="Times New Roman" w:cs="Times New Roman"/>
        </w:rPr>
        <w:t>the work products are comprehensive, o</w:t>
      </w:r>
      <w:r w:rsidR="0082732B">
        <w:rPr>
          <w:rFonts w:eastAsia="Times New Roman" w:cs="Times New Roman"/>
        </w:rPr>
        <w:t xml:space="preserve">f high-quality, and contain the </w:t>
      </w:r>
      <w:r>
        <w:rPr>
          <w:rFonts w:eastAsia="Times New Roman" w:cs="Times New Roman"/>
        </w:rPr>
        <w:t>documentation and evaluation</w:t>
      </w:r>
      <w:r w:rsidR="0082732B">
        <w:rPr>
          <w:rFonts w:eastAsia="Times New Roman" w:cs="Times New Roman"/>
        </w:rPr>
        <w:t xml:space="preserve"> agreed upon by the Cooperators</w:t>
      </w:r>
      <w:r>
        <w:rPr>
          <w:rFonts w:eastAsia="Times New Roman" w:cs="Times New Roman"/>
        </w:rPr>
        <w:t xml:space="preserve"> prior to use in </w:t>
      </w:r>
      <w:r w:rsidR="00B316A1">
        <w:rPr>
          <w:rFonts w:eastAsia="Times New Roman" w:cs="Times New Roman"/>
        </w:rPr>
        <w:t xml:space="preserve">agency or </w:t>
      </w:r>
      <w:r>
        <w:rPr>
          <w:rFonts w:eastAsia="Times New Roman" w:cs="Times New Roman"/>
        </w:rPr>
        <w:t>air quality studies.</w:t>
      </w:r>
    </w:p>
    <w:p w14:paraId="538B3E6E" w14:textId="77777777" w:rsidR="00181002" w:rsidRDefault="00181002" w:rsidP="008D0415">
      <w:pPr>
        <w:pStyle w:val="NoSpacing"/>
      </w:pPr>
    </w:p>
    <w:p w14:paraId="29748DBC" w14:textId="776E2A74" w:rsidR="009C6FD1" w:rsidRPr="009C6FD1" w:rsidRDefault="009C6FD1" w:rsidP="008D0415">
      <w:pPr>
        <w:pStyle w:val="NoSpacing"/>
        <w:rPr>
          <w:b/>
        </w:rPr>
      </w:pPr>
      <w:r w:rsidRPr="009C6FD1">
        <w:rPr>
          <w:b/>
        </w:rPr>
        <w:t>Roles:</w:t>
      </w:r>
    </w:p>
    <w:p w14:paraId="26E4D002" w14:textId="77777777" w:rsidR="009827D4" w:rsidRPr="009827D4" w:rsidRDefault="00E02DB6" w:rsidP="00E02DB6">
      <w:pPr>
        <w:spacing w:after="0" w:line="240" w:lineRule="auto"/>
        <w:rPr>
          <w:rFonts w:eastAsia="Times New Roman" w:cs="Times New Roman"/>
        </w:rPr>
      </w:pPr>
      <w:r w:rsidRPr="00E02DB6">
        <w:rPr>
          <w:rFonts w:eastAsia="Times New Roman" w:cs="Times New Roman"/>
        </w:rPr>
        <w:t xml:space="preserve">The </w:t>
      </w:r>
      <w:r w:rsidR="00FD04E4">
        <w:rPr>
          <w:rFonts w:eastAsia="Times New Roman" w:cs="Times New Roman"/>
        </w:rPr>
        <w:t xml:space="preserve">IWDW </w:t>
      </w:r>
      <w:r w:rsidR="00D05156">
        <w:rPr>
          <w:rFonts w:eastAsia="Times New Roman" w:cs="Times New Roman"/>
        </w:rPr>
        <w:t>Technical</w:t>
      </w:r>
      <w:r w:rsidR="00FD04E4">
        <w:rPr>
          <w:rFonts w:eastAsia="Times New Roman" w:cs="Times New Roman"/>
        </w:rPr>
        <w:t xml:space="preserve"> Committee is</w:t>
      </w:r>
      <w:r w:rsidR="00D05156">
        <w:rPr>
          <w:rFonts w:eastAsia="Times New Roman" w:cs="Times New Roman"/>
        </w:rPr>
        <w:t xml:space="preserve"> a</w:t>
      </w:r>
      <w:r w:rsidRPr="00E02DB6">
        <w:rPr>
          <w:rFonts w:eastAsia="Times New Roman" w:cs="Times New Roman"/>
        </w:rPr>
        <w:t xml:space="preserve"> group of expert technical and</w:t>
      </w:r>
      <w:r w:rsidR="00FD04E4">
        <w:rPr>
          <w:rFonts w:eastAsia="Times New Roman" w:cs="Times New Roman"/>
        </w:rPr>
        <w:t xml:space="preserve"> program staff representing the</w:t>
      </w:r>
      <w:r w:rsidRPr="00E02DB6">
        <w:rPr>
          <w:rFonts w:eastAsia="Times New Roman" w:cs="Times New Roman"/>
        </w:rPr>
        <w:t xml:space="preserve"> Cooperat</w:t>
      </w:r>
      <w:r w:rsidR="00FD04E4">
        <w:rPr>
          <w:rFonts w:eastAsia="Times New Roman" w:cs="Times New Roman"/>
        </w:rPr>
        <w:t>ors</w:t>
      </w:r>
      <w:r w:rsidRPr="00E02DB6">
        <w:rPr>
          <w:rFonts w:eastAsia="Times New Roman" w:cs="Times New Roman"/>
        </w:rPr>
        <w:t xml:space="preserve"> sponsoring and overseeing the IWDW and associated regional modeling efforts. </w:t>
      </w:r>
      <w:r w:rsidR="00D05156" w:rsidRPr="009827D4">
        <w:rPr>
          <w:rFonts w:eastAsia="Times New Roman" w:cs="Times New Roman"/>
        </w:rPr>
        <w:t>The role</w:t>
      </w:r>
      <w:r w:rsidR="009827D4" w:rsidRPr="009827D4">
        <w:rPr>
          <w:rFonts w:eastAsia="Times New Roman" w:cs="Times New Roman"/>
        </w:rPr>
        <w:t>s</w:t>
      </w:r>
      <w:r w:rsidR="00D05156" w:rsidRPr="009827D4">
        <w:rPr>
          <w:rFonts w:eastAsia="Times New Roman" w:cs="Times New Roman"/>
        </w:rPr>
        <w:t xml:space="preserve"> of this committee </w:t>
      </w:r>
      <w:r w:rsidR="009827D4" w:rsidRPr="009827D4">
        <w:rPr>
          <w:rFonts w:eastAsia="Times New Roman" w:cs="Times New Roman"/>
        </w:rPr>
        <w:t>include:</w:t>
      </w:r>
    </w:p>
    <w:p w14:paraId="75F26BE0" w14:textId="3BE9F9F8" w:rsidR="009827D4" w:rsidRPr="009827D4" w:rsidRDefault="00D05156" w:rsidP="009827D4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r w:rsidRPr="009827D4">
        <w:rPr>
          <w:rFonts w:eastAsia="Times New Roman" w:cs="Times New Roman"/>
          <w:sz w:val="22"/>
          <w:szCs w:val="22"/>
        </w:rPr>
        <w:t>provid</w:t>
      </w:r>
      <w:r w:rsidR="009827D4" w:rsidRPr="009827D4">
        <w:rPr>
          <w:rFonts w:eastAsia="Times New Roman" w:cs="Times New Roman"/>
          <w:sz w:val="22"/>
          <w:szCs w:val="22"/>
        </w:rPr>
        <w:t>ing</w:t>
      </w:r>
      <w:r w:rsidRPr="009827D4">
        <w:rPr>
          <w:rFonts w:eastAsia="Times New Roman" w:cs="Times New Roman"/>
          <w:sz w:val="22"/>
          <w:szCs w:val="22"/>
        </w:rPr>
        <w:t xml:space="preserve"> technical assistance and recommendations o</w:t>
      </w:r>
      <w:r w:rsidR="00CA5FEE" w:rsidRPr="009827D4">
        <w:rPr>
          <w:rFonts w:eastAsia="Times New Roman" w:cs="Times New Roman"/>
          <w:sz w:val="22"/>
          <w:szCs w:val="22"/>
        </w:rPr>
        <w:t>n</w:t>
      </w:r>
      <w:r w:rsidRPr="009827D4">
        <w:rPr>
          <w:rFonts w:eastAsia="Times New Roman" w:cs="Times New Roman"/>
          <w:sz w:val="22"/>
          <w:szCs w:val="22"/>
        </w:rPr>
        <w:t xml:space="preserve"> the operations and work products developed by the IWDW-AQ study</w:t>
      </w:r>
      <w:r w:rsidR="009827D4" w:rsidRPr="009827D4">
        <w:rPr>
          <w:rFonts w:eastAsia="Times New Roman" w:cs="Times New Roman"/>
          <w:sz w:val="22"/>
          <w:szCs w:val="22"/>
        </w:rPr>
        <w:t>;</w:t>
      </w:r>
    </w:p>
    <w:p w14:paraId="5B5A6C4C" w14:textId="4D6957EB" w:rsidR="007F4420" w:rsidRPr="009827D4" w:rsidRDefault="007F4420" w:rsidP="009827D4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r w:rsidRPr="009827D4">
        <w:rPr>
          <w:rFonts w:eastAsia="Times New Roman" w:cs="Times New Roman"/>
          <w:sz w:val="22"/>
          <w:szCs w:val="22"/>
        </w:rPr>
        <w:t>act</w:t>
      </w:r>
      <w:r w:rsidR="009827D4" w:rsidRPr="009827D4">
        <w:rPr>
          <w:rFonts w:eastAsia="Times New Roman" w:cs="Times New Roman"/>
          <w:sz w:val="22"/>
          <w:szCs w:val="22"/>
        </w:rPr>
        <w:t>ing</w:t>
      </w:r>
      <w:r w:rsidRPr="009827D4">
        <w:rPr>
          <w:rFonts w:eastAsia="Times New Roman" w:cs="Times New Roman"/>
          <w:sz w:val="22"/>
          <w:szCs w:val="22"/>
        </w:rPr>
        <w:t xml:space="preserve"> as a main point of contact </w:t>
      </w:r>
      <w:r w:rsidR="00B316A1">
        <w:rPr>
          <w:rFonts w:eastAsia="Times New Roman" w:cs="Times New Roman"/>
          <w:sz w:val="22"/>
          <w:szCs w:val="22"/>
        </w:rPr>
        <w:t>to the NPS Project Officers managing</w:t>
      </w:r>
      <w:r w:rsidRPr="009827D4">
        <w:rPr>
          <w:rFonts w:eastAsia="Times New Roman" w:cs="Times New Roman"/>
          <w:sz w:val="22"/>
          <w:szCs w:val="22"/>
        </w:rPr>
        <w:t xml:space="preserve"> the CIRA staff operating the IWDW and the contractors conducting the air quality monitoring, modeling</w:t>
      </w:r>
      <w:r w:rsidR="009827D4" w:rsidRPr="009827D4">
        <w:rPr>
          <w:rFonts w:eastAsia="Times New Roman" w:cs="Times New Roman"/>
          <w:sz w:val="22"/>
          <w:szCs w:val="22"/>
        </w:rPr>
        <w:t>, and analyses; and</w:t>
      </w:r>
    </w:p>
    <w:p w14:paraId="73A864EA" w14:textId="51CA513C" w:rsidR="009827D4" w:rsidRPr="009827D4" w:rsidRDefault="009827D4" w:rsidP="009827D4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providing</w:t>
      </w:r>
      <w:proofErr w:type="gramEnd"/>
      <w:r w:rsidRPr="009827D4">
        <w:rPr>
          <w:rFonts w:eastAsia="Times New Roman" w:cs="Times New Roman"/>
          <w:sz w:val="22"/>
          <w:szCs w:val="22"/>
        </w:rPr>
        <w:t xml:space="preserve"> any </w:t>
      </w:r>
      <w:r w:rsidR="002A3232">
        <w:rPr>
          <w:rFonts w:eastAsia="Times New Roman" w:cs="Times New Roman"/>
          <w:sz w:val="22"/>
          <w:szCs w:val="22"/>
        </w:rPr>
        <w:t xml:space="preserve">outcomes and </w:t>
      </w:r>
      <w:r w:rsidRPr="009827D4">
        <w:rPr>
          <w:rFonts w:eastAsia="Times New Roman" w:cs="Times New Roman"/>
          <w:sz w:val="22"/>
          <w:szCs w:val="22"/>
        </w:rPr>
        <w:t>recommendations to the IWDW-AQ study Oversight Committee</w:t>
      </w:r>
      <w:r>
        <w:rPr>
          <w:rFonts w:eastAsia="Times New Roman" w:cs="Times New Roman"/>
          <w:sz w:val="22"/>
          <w:szCs w:val="22"/>
        </w:rPr>
        <w:t xml:space="preserve"> on the operations and work products developed by the IWDW-AQ study.</w:t>
      </w:r>
      <w:r w:rsidRPr="009827D4">
        <w:rPr>
          <w:rFonts w:eastAsia="Times New Roman" w:cs="Times New Roman"/>
          <w:sz w:val="22"/>
          <w:szCs w:val="22"/>
        </w:rPr>
        <w:t xml:space="preserve"> </w:t>
      </w:r>
    </w:p>
    <w:p w14:paraId="3876290F" w14:textId="77777777" w:rsidR="009827D4" w:rsidRDefault="009827D4" w:rsidP="008D0415">
      <w:pPr>
        <w:pStyle w:val="NoSpacing"/>
        <w:rPr>
          <w:b/>
        </w:rPr>
      </w:pPr>
    </w:p>
    <w:p w14:paraId="086BA761" w14:textId="77777777" w:rsidR="006A1CEB" w:rsidRDefault="006A1CEB" w:rsidP="008D0415">
      <w:pPr>
        <w:pStyle w:val="NoSpacing"/>
        <w:rPr>
          <w:b/>
        </w:rPr>
      </w:pPr>
    </w:p>
    <w:p w14:paraId="314853AE" w14:textId="4C9A548D" w:rsidR="008D0415" w:rsidRPr="00A1190C" w:rsidRDefault="008D0415" w:rsidP="008D0415">
      <w:pPr>
        <w:pStyle w:val="NoSpacing"/>
        <w:rPr>
          <w:b/>
        </w:rPr>
      </w:pPr>
      <w:r w:rsidRPr="00A1190C">
        <w:rPr>
          <w:b/>
        </w:rPr>
        <w:t>Scope</w:t>
      </w:r>
      <w:r w:rsidR="001659E0" w:rsidRPr="00A1190C">
        <w:rPr>
          <w:b/>
        </w:rPr>
        <w:t>:</w:t>
      </w:r>
    </w:p>
    <w:p w14:paraId="6CD4D602" w14:textId="4F3DEE46" w:rsidR="002A3232" w:rsidRDefault="00500240" w:rsidP="008D0415">
      <w:pPr>
        <w:pStyle w:val="NoSpacing"/>
      </w:pPr>
      <w:r>
        <w:t>Prior to the finalization or authorization of any o</w:t>
      </w:r>
      <w:r w:rsidR="009827D4">
        <w:t xml:space="preserve">perations and work products developed by the IWDW-AQ </w:t>
      </w:r>
      <w:r>
        <w:t xml:space="preserve">study, the key </w:t>
      </w:r>
      <w:r w:rsidR="00181002">
        <w:t>Cooperators</w:t>
      </w:r>
      <w:r>
        <w:t xml:space="preserve"> will have the opportunity to review </w:t>
      </w:r>
      <w:r w:rsidR="000F27D1">
        <w:t>the</w:t>
      </w:r>
      <w:r>
        <w:t xml:space="preserve"> associated activities or documentation (SOPs, Evaluations, Data, etc.) and provide recommendations. On an as-needed or routine basis, the group will meet (conference call or in-person meeting) to discuss the activities and documentation to ensure that the activities </w:t>
      </w:r>
      <w:r w:rsidR="000F27D1">
        <w:t xml:space="preserve">or documentation </w:t>
      </w:r>
      <w:r>
        <w:t>fulfill</w:t>
      </w:r>
      <w:r w:rsidR="000F27D1">
        <w:t>s</w:t>
      </w:r>
      <w:r>
        <w:t xml:space="preserve"> the needs of the Cooperators</w:t>
      </w:r>
      <w:r w:rsidR="002A3232">
        <w:t>. All work products, outcomes, or recommendations from this committee will be discussed and coordinated with the IWDW-AQ study Oversight Committee.</w:t>
      </w:r>
    </w:p>
    <w:p w14:paraId="16E0C71F" w14:textId="77777777" w:rsidR="00500240" w:rsidRDefault="00500240" w:rsidP="008D0415">
      <w:pPr>
        <w:pStyle w:val="NoSpacing"/>
      </w:pPr>
    </w:p>
    <w:p w14:paraId="0127BBFB" w14:textId="77777777" w:rsidR="001659E0" w:rsidRPr="00A1190C" w:rsidRDefault="001659E0" w:rsidP="008D0415">
      <w:pPr>
        <w:pStyle w:val="NoSpacing"/>
        <w:rPr>
          <w:b/>
        </w:rPr>
      </w:pPr>
      <w:r w:rsidRPr="00A1190C">
        <w:rPr>
          <w:b/>
        </w:rPr>
        <w:t>Communication Plans (Current as of February 2016):</w:t>
      </w:r>
    </w:p>
    <w:p w14:paraId="6C6339F6" w14:textId="347F81B1" w:rsidR="001659E0" w:rsidRDefault="001659E0" w:rsidP="007F4420">
      <w:pPr>
        <w:pStyle w:val="NoSpacing"/>
        <w:numPr>
          <w:ilvl w:val="0"/>
          <w:numId w:val="1"/>
        </w:numPr>
        <w:tabs>
          <w:tab w:val="left" w:pos="720"/>
        </w:tabs>
        <w:ind w:left="3600" w:hanging="3240"/>
      </w:pPr>
      <w:r>
        <w:t xml:space="preserve">Meeting Time: </w:t>
      </w:r>
      <w:r>
        <w:tab/>
      </w:r>
      <w:r w:rsidR="007F4420">
        <w:t>Meets after completion of major task or on an as-needed basis to review and discuss the operations and work products</w:t>
      </w:r>
      <w:r>
        <w:t xml:space="preserve"> </w:t>
      </w:r>
    </w:p>
    <w:p w14:paraId="35B391E6" w14:textId="6EE95C4D" w:rsidR="001659E0" w:rsidRDefault="001659E0" w:rsidP="001659E0">
      <w:pPr>
        <w:pStyle w:val="NoSpacing"/>
        <w:numPr>
          <w:ilvl w:val="0"/>
          <w:numId w:val="1"/>
        </w:numPr>
      </w:pPr>
      <w:r>
        <w:t>Meeting Location:</w:t>
      </w:r>
      <w:r>
        <w:tab/>
      </w:r>
      <w:r>
        <w:tab/>
      </w:r>
      <w:r w:rsidR="007F4420">
        <w:t xml:space="preserve">Facilities of the Cooperating Agencies or </w:t>
      </w:r>
      <w:r>
        <w:t>Conference Calls</w:t>
      </w:r>
    </w:p>
    <w:p w14:paraId="0986DF67" w14:textId="77777777" w:rsidR="007F4420" w:rsidRDefault="001659E0" w:rsidP="001659E0">
      <w:pPr>
        <w:pStyle w:val="NoSpacing"/>
        <w:numPr>
          <w:ilvl w:val="0"/>
          <w:numId w:val="1"/>
        </w:numPr>
      </w:pPr>
      <w:r>
        <w:t>Communication Avenues:</w:t>
      </w:r>
      <w:r>
        <w:tab/>
      </w:r>
      <w:r w:rsidR="007F4420">
        <w:t>In-person meetings</w:t>
      </w:r>
    </w:p>
    <w:p w14:paraId="44F0E96A" w14:textId="1635156A" w:rsidR="001659E0" w:rsidRDefault="001659E0" w:rsidP="007F4420">
      <w:pPr>
        <w:pStyle w:val="NoSpacing"/>
        <w:ind w:left="2880" w:firstLine="720"/>
      </w:pPr>
      <w:r>
        <w:t>Phone</w:t>
      </w:r>
    </w:p>
    <w:p w14:paraId="69375E93" w14:textId="77777777" w:rsidR="001659E0" w:rsidRDefault="001659E0" w:rsidP="001659E0">
      <w:pPr>
        <w:pStyle w:val="NoSpacing"/>
        <w:ind w:left="2880" w:firstLine="720"/>
      </w:pPr>
      <w:r>
        <w:t>Email</w:t>
      </w:r>
    </w:p>
    <w:p w14:paraId="0C3409CB" w14:textId="3B174581" w:rsidR="00E02DB6" w:rsidRDefault="00E02DB6" w:rsidP="00E02DB6">
      <w:pPr>
        <w:pStyle w:val="NoSpacing"/>
        <w:numPr>
          <w:ilvl w:val="0"/>
          <w:numId w:val="4"/>
        </w:numPr>
        <w:ind w:left="720"/>
      </w:pPr>
      <w:r>
        <w:t>Tracking System:</w:t>
      </w:r>
      <w:r>
        <w:tab/>
      </w:r>
      <w:r>
        <w:tab/>
        <w:t xml:space="preserve">IWDW-WAQS </w:t>
      </w:r>
      <w:r w:rsidR="007F4420">
        <w:t>Technical Committee</w:t>
      </w:r>
    </w:p>
    <w:p w14:paraId="16A312D7" w14:textId="6CFBF476" w:rsidR="001659E0" w:rsidRDefault="007F4420" w:rsidP="007F4420">
      <w:pPr>
        <w:pStyle w:val="NoSpacing"/>
        <w:ind w:left="2880" w:firstLine="720"/>
      </w:pPr>
      <w:r w:rsidRPr="007F4420">
        <w:t>http://views.cira.colostate.edu/tsdw/Meetings/</w:t>
      </w:r>
    </w:p>
    <w:p w14:paraId="7C0903EB" w14:textId="77777777" w:rsidR="00C82BA6" w:rsidRPr="00B316A1" w:rsidRDefault="00C82BA6" w:rsidP="00500240">
      <w:pPr>
        <w:pStyle w:val="NoSpacing"/>
        <w:rPr>
          <w:b/>
          <w:sz w:val="10"/>
          <w:szCs w:val="10"/>
        </w:rPr>
      </w:pPr>
    </w:p>
    <w:p w14:paraId="2BA330DC" w14:textId="4573E02C" w:rsidR="00500240" w:rsidRPr="0066472F" w:rsidRDefault="001659E0" w:rsidP="00500240">
      <w:pPr>
        <w:pStyle w:val="NoSpacing"/>
        <w:rPr>
          <w:b/>
        </w:rPr>
      </w:pPr>
      <w:r w:rsidRPr="00A1190C">
        <w:rPr>
          <w:b/>
        </w:rPr>
        <w:t xml:space="preserve">Key </w:t>
      </w:r>
      <w:r w:rsidR="00181002">
        <w:rPr>
          <w:b/>
        </w:rPr>
        <w:t>Cooperators</w:t>
      </w:r>
      <w:r w:rsidRPr="00A1190C">
        <w:rPr>
          <w:b/>
        </w:rPr>
        <w:t>:</w:t>
      </w:r>
    </w:p>
    <w:tbl>
      <w:tblPr>
        <w:tblStyle w:val="TableGrid"/>
        <w:tblW w:w="8635" w:type="dxa"/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1980"/>
        <w:gridCol w:w="3150"/>
      </w:tblGrid>
      <w:tr w:rsidR="00500240" w:rsidRPr="00C82BA6" w14:paraId="345C2EDA" w14:textId="77777777" w:rsidTr="00500240">
        <w:trPr>
          <w:trHeight w:val="244"/>
        </w:trPr>
        <w:tc>
          <w:tcPr>
            <w:tcW w:w="3505" w:type="dxa"/>
            <w:gridSpan w:val="2"/>
            <w:shd w:val="clear" w:color="auto" w:fill="D9D9D9" w:themeFill="background1" w:themeFillShade="D9"/>
            <w:vAlign w:val="center"/>
          </w:tcPr>
          <w:p w14:paraId="2E96425D" w14:textId="77777777" w:rsidR="00500240" w:rsidRPr="00C82BA6" w:rsidRDefault="00500240" w:rsidP="00F82663">
            <w:pPr>
              <w:rPr>
                <w:b/>
                <w:sz w:val="20"/>
                <w:szCs w:val="20"/>
              </w:rPr>
            </w:pPr>
            <w:r w:rsidRPr="00C82BA6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57CA67A" w14:textId="77777777" w:rsidR="00500240" w:rsidRPr="00C82BA6" w:rsidRDefault="00500240" w:rsidP="00F82663">
            <w:pPr>
              <w:rPr>
                <w:b/>
                <w:sz w:val="20"/>
                <w:szCs w:val="20"/>
              </w:rPr>
            </w:pPr>
            <w:r w:rsidRPr="00C82BA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A0B751B" w14:textId="77777777" w:rsidR="00500240" w:rsidRPr="00C82BA6" w:rsidRDefault="00500240" w:rsidP="00F82663">
            <w:pPr>
              <w:rPr>
                <w:b/>
                <w:sz w:val="20"/>
                <w:szCs w:val="20"/>
              </w:rPr>
            </w:pPr>
            <w:r w:rsidRPr="00C82BA6">
              <w:rPr>
                <w:b/>
                <w:sz w:val="20"/>
                <w:szCs w:val="20"/>
              </w:rPr>
              <w:t>Email</w:t>
            </w:r>
          </w:p>
        </w:tc>
      </w:tr>
      <w:tr w:rsidR="00500240" w:rsidRPr="00C82BA6" w14:paraId="7FD9226F" w14:textId="77777777" w:rsidTr="00500240">
        <w:tc>
          <w:tcPr>
            <w:tcW w:w="2245" w:type="dxa"/>
            <w:vMerge w:val="restart"/>
          </w:tcPr>
          <w:p w14:paraId="264A818F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EPA</w:t>
            </w:r>
          </w:p>
        </w:tc>
        <w:tc>
          <w:tcPr>
            <w:tcW w:w="1260" w:type="dxa"/>
            <w:vMerge w:val="restart"/>
          </w:tcPr>
          <w:p w14:paraId="1359216B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Region 8</w:t>
            </w:r>
          </w:p>
        </w:tc>
        <w:tc>
          <w:tcPr>
            <w:tcW w:w="1980" w:type="dxa"/>
          </w:tcPr>
          <w:p w14:paraId="5D63D0DF" w14:textId="252B5DA5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Rebecca Matichuk</w:t>
            </w:r>
          </w:p>
        </w:tc>
        <w:tc>
          <w:tcPr>
            <w:tcW w:w="3150" w:type="dxa"/>
          </w:tcPr>
          <w:p w14:paraId="5950F465" w14:textId="0BB44CAD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Matichuk.Rebecca@epa.gov</w:t>
            </w:r>
          </w:p>
        </w:tc>
      </w:tr>
      <w:tr w:rsidR="00500240" w:rsidRPr="00C82BA6" w14:paraId="4F6416D4" w14:textId="77777777" w:rsidTr="00500240">
        <w:tc>
          <w:tcPr>
            <w:tcW w:w="2245" w:type="dxa"/>
            <w:vMerge/>
          </w:tcPr>
          <w:p w14:paraId="480AF2A3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70B29DC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51C42D" w14:textId="1EEE3223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Gail Tonnesen</w:t>
            </w:r>
          </w:p>
        </w:tc>
        <w:tc>
          <w:tcPr>
            <w:tcW w:w="3150" w:type="dxa"/>
          </w:tcPr>
          <w:p w14:paraId="05DFB15E" w14:textId="33061F6A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Tonnesen.Gail@epa.gov</w:t>
            </w:r>
          </w:p>
        </w:tc>
      </w:tr>
      <w:tr w:rsidR="00500240" w:rsidRPr="00C82BA6" w14:paraId="5EF18371" w14:textId="77777777" w:rsidTr="00500240">
        <w:tc>
          <w:tcPr>
            <w:tcW w:w="2245" w:type="dxa"/>
            <w:vMerge w:val="restart"/>
          </w:tcPr>
          <w:p w14:paraId="1D1C5F5D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BLM</w:t>
            </w:r>
          </w:p>
        </w:tc>
        <w:tc>
          <w:tcPr>
            <w:tcW w:w="1260" w:type="dxa"/>
            <w:vMerge w:val="restart"/>
          </w:tcPr>
          <w:p w14:paraId="64832D87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Colorado</w:t>
            </w:r>
          </w:p>
        </w:tc>
        <w:tc>
          <w:tcPr>
            <w:tcW w:w="1980" w:type="dxa"/>
          </w:tcPr>
          <w:p w14:paraId="17767D78" w14:textId="1C4977AD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Craig Nicholl</w:t>
            </w:r>
            <w:r w:rsidR="0025054A">
              <w:rPr>
                <w:sz w:val="20"/>
                <w:szCs w:val="20"/>
              </w:rPr>
              <w:t>s</w:t>
            </w:r>
          </w:p>
        </w:tc>
        <w:tc>
          <w:tcPr>
            <w:tcW w:w="3150" w:type="dxa"/>
          </w:tcPr>
          <w:p w14:paraId="37B82DE0" w14:textId="1723C584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cnicholl@blm.gov</w:t>
            </w:r>
          </w:p>
        </w:tc>
      </w:tr>
      <w:tr w:rsidR="00500240" w:rsidRPr="00C82BA6" w14:paraId="3B93E041" w14:textId="77777777" w:rsidTr="00500240">
        <w:tc>
          <w:tcPr>
            <w:tcW w:w="2245" w:type="dxa"/>
            <w:vMerge/>
          </w:tcPr>
          <w:p w14:paraId="724C6F06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94C255F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42B8CD" w14:textId="525D2335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Dave Maxwell</w:t>
            </w:r>
          </w:p>
        </w:tc>
        <w:tc>
          <w:tcPr>
            <w:tcW w:w="3150" w:type="dxa"/>
          </w:tcPr>
          <w:p w14:paraId="0FB88417" w14:textId="5A1C8251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dmaxwell@blm.gov</w:t>
            </w:r>
          </w:p>
        </w:tc>
      </w:tr>
      <w:tr w:rsidR="00500240" w:rsidRPr="00C82BA6" w14:paraId="4D5699D4" w14:textId="77777777" w:rsidTr="00500240">
        <w:tc>
          <w:tcPr>
            <w:tcW w:w="2245" w:type="dxa"/>
            <w:vMerge/>
          </w:tcPr>
          <w:p w14:paraId="6961B272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6407BF2A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Wyoming</w:t>
            </w:r>
          </w:p>
        </w:tc>
        <w:tc>
          <w:tcPr>
            <w:tcW w:w="1980" w:type="dxa"/>
          </w:tcPr>
          <w:p w14:paraId="183DA2D9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Charis Tuers</w:t>
            </w:r>
          </w:p>
        </w:tc>
        <w:tc>
          <w:tcPr>
            <w:tcW w:w="3150" w:type="dxa"/>
          </w:tcPr>
          <w:p w14:paraId="0F9D2A96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ctuers@blm.gov</w:t>
            </w:r>
          </w:p>
        </w:tc>
      </w:tr>
      <w:tr w:rsidR="00500240" w:rsidRPr="00C82BA6" w14:paraId="1C20F4C1" w14:textId="77777777" w:rsidTr="00500240">
        <w:tc>
          <w:tcPr>
            <w:tcW w:w="2245" w:type="dxa"/>
            <w:vMerge/>
          </w:tcPr>
          <w:p w14:paraId="0E583402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8CFE9F8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4FC69C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Ryan McCammon</w:t>
            </w:r>
          </w:p>
        </w:tc>
        <w:tc>
          <w:tcPr>
            <w:tcW w:w="3150" w:type="dxa"/>
          </w:tcPr>
          <w:p w14:paraId="0E82F749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rmccammon@blm.gov</w:t>
            </w:r>
          </w:p>
        </w:tc>
      </w:tr>
      <w:tr w:rsidR="00500240" w:rsidRPr="00C82BA6" w14:paraId="113AE6CB" w14:textId="77777777" w:rsidTr="00500240">
        <w:tc>
          <w:tcPr>
            <w:tcW w:w="2245" w:type="dxa"/>
            <w:vMerge/>
          </w:tcPr>
          <w:p w14:paraId="7191529A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F1AC618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Utah</w:t>
            </w:r>
          </w:p>
        </w:tc>
        <w:tc>
          <w:tcPr>
            <w:tcW w:w="1980" w:type="dxa"/>
          </w:tcPr>
          <w:p w14:paraId="712E7323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Leonard Herr</w:t>
            </w:r>
          </w:p>
        </w:tc>
        <w:tc>
          <w:tcPr>
            <w:tcW w:w="3150" w:type="dxa"/>
          </w:tcPr>
          <w:p w14:paraId="1E03FFA0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leonard_herr@blm.gov</w:t>
            </w:r>
          </w:p>
        </w:tc>
      </w:tr>
      <w:tr w:rsidR="00500240" w:rsidRPr="00C82BA6" w14:paraId="3EEAF24E" w14:textId="77777777" w:rsidTr="00500240">
        <w:tc>
          <w:tcPr>
            <w:tcW w:w="2245" w:type="dxa"/>
            <w:vMerge w:val="restart"/>
          </w:tcPr>
          <w:p w14:paraId="0883FF09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Forest Service</w:t>
            </w:r>
          </w:p>
        </w:tc>
        <w:tc>
          <w:tcPr>
            <w:tcW w:w="1260" w:type="dxa"/>
            <w:vMerge w:val="restart"/>
          </w:tcPr>
          <w:p w14:paraId="4ADBAD92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9EA7CF" w14:textId="6A3C2F74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Debbie Miller</w:t>
            </w:r>
          </w:p>
        </w:tc>
        <w:tc>
          <w:tcPr>
            <w:tcW w:w="3150" w:type="dxa"/>
          </w:tcPr>
          <w:p w14:paraId="29988E03" w14:textId="21F56C5B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dcmiller@fs.fed.us</w:t>
            </w:r>
          </w:p>
        </w:tc>
      </w:tr>
      <w:tr w:rsidR="00500240" w:rsidRPr="00C82BA6" w14:paraId="13F11025" w14:textId="77777777" w:rsidTr="00500240">
        <w:tc>
          <w:tcPr>
            <w:tcW w:w="2245" w:type="dxa"/>
            <w:vMerge/>
          </w:tcPr>
          <w:p w14:paraId="565E6B68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F4B6326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279800" w14:textId="4AD60416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Bret Anderson</w:t>
            </w:r>
          </w:p>
        </w:tc>
        <w:tc>
          <w:tcPr>
            <w:tcW w:w="3150" w:type="dxa"/>
          </w:tcPr>
          <w:p w14:paraId="2BFF00C2" w14:textId="0F67ADFD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baanderson02@fs.fed.us</w:t>
            </w:r>
          </w:p>
        </w:tc>
      </w:tr>
      <w:tr w:rsidR="00500240" w:rsidRPr="00C82BA6" w14:paraId="77193345" w14:textId="77777777" w:rsidTr="00500240">
        <w:tc>
          <w:tcPr>
            <w:tcW w:w="2245" w:type="dxa"/>
            <w:vMerge/>
          </w:tcPr>
          <w:p w14:paraId="22050D1F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6D52226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8BD503" w14:textId="417849B2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Josh Hall</w:t>
            </w:r>
          </w:p>
        </w:tc>
        <w:tc>
          <w:tcPr>
            <w:tcW w:w="3150" w:type="dxa"/>
          </w:tcPr>
          <w:p w14:paraId="74779952" w14:textId="3EB001EA" w:rsidR="00500240" w:rsidRPr="00C82BA6" w:rsidRDefault="00FC5055" w:rsidP="00500240">
            <w:pPr>
              <w:rPr>
                <w:sz w:val="20"/>
                <w:szCs w:val="20"/>
              </w:rPr>
            </w:pPr>
            <w:hyperlink r:id="rId7" w:history="1">
              <w:r w:rsidR="00500240" w:rsidRPr="00C82BA6">
                <w:rPr>
                  <w:rStyle w:val="Hyperlink"/>
                  <w:sz w:val="20"/>
                  <w:szCs w:val="20"/>
                </w:rPr>
                <w:t>jdhall@fs.fed.us</w:t>
              </w:r>
            </w:hyperlink>
          </w:p>
        </w:tc>
      </w:tr>
      <w:tr w:rsidR="00500240" w:rsidRPr="00C82BA6" w14:paraId="034B3C12" w14:textId="77777777" w:rsidTr="00500240">
        <w:tc>
          <w:tcPr>
            <w:tcW w:w="2245" w:type="dxa"/>
            <w:vMerge w:val="restart"/>
          </w:tcPr>
          <w:p w14:paraId="17AF92F7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National Park Service</w:t>
            </w:r>
          </w:p>
        </w:tc>
        <w:tc>
          <w:tcPr>
            <w:tcW w:w="1260" w:type="dxa"/>
            <w:vMerge w:val="restart"/>
          </w:tcPr>
          <w:p w14:paraId="45A5CFF8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282674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Mike George</w:t>
            </w:r>
          </w:p>
        </w:tc>
        <w:tc>
          <w:tcPr>
            <w:tcW w:w="3150" w:type="dxa"/>
          </w:tcPr>
          <w:p w14:paraId="7057DCF2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Michael_George@nps.gov</w:t>
            </w:r>
          </w:p>
        </w:tc>
      </w:tr>
      <w:tr w:rsidR="00500240" w:rsidRPr="00C82BA6" w14:paraId="5609617E" w14:textId="77777777" w:rsidTr="00500240">
        <w:tc>
          <w:tcPr>
            <w:tcW w:w="2245" w:type="dxa"/>
            <w:vMerge/>
          </w:tcPr>
          <w:p w14:paraId="784C2BB8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D361FFE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761E47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John Vimont</w:t>
            </w:r>
          </w:p>
        </w:tc>
        <w:tc>
          <w:tcPr>
            <w:tcW w:w="3150" w:type="dxa"/>
          </w:tcPr>
          <w:p w14:paraId="0E745CD1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john_vimont@nps.gov</w:t>
            </w:r>
          </w:p>
        </w:tc>
      </w:tr>
      <w:tr w:rsidR="00500240" w:rsidRPr="00C82BA6" w14:paraId="1095CC8B" w14:textId="77777777" w:rsidTr="00500240">
        <w:tc>
          <w:tcPr>
            <w:tcW w:w="2245" w:type="dxa"/>
            <w:vMerge/>
          </w:tcPr>
          <w:p w14:paraId="40EE1503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8A8DFB2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19A6DB4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Mike Barna</w:t>
            </w:r>
          </w:p>
        </w:tc>
        <w:tc>
          <w:tcPr>
            <w:tcW w:w="3150" w:type="dxa"/>
          </w:tcPr>
          <w:p w14:paraId="2C6F7B84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Mike.barna@colostate.edu</w:t>
            </w:r>
          </w:p>
        </w:tc>
      </w:tr>
      <w:tr w:rsidR="00500240" w:rsidRPr="00C82BA6" w14:paraId="0E8E48EF" w14:textId="77777777" w:rsidTr="00500240">
        <w:tc>
          <w:tcPr>
            <w:tcW w:w="2245" w:type="dxa"/>
            <w:vMerge/>
          </w:tcPr>
          <w:p w14:paraId="5DD4A984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2780F8F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F9BC4A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Tammy Thompson</w:t>
            </w:r>
          </w:p>
        </w:tc>
        <w:tc>
          <w:tcPr>
            <w:tcW w:w="3150" w:type="dxa"/>
          </w:tcPr>
          <w:p w14:paraId="11B92679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Tammy.thompson@colostate.edu</w:t>
            </w:r>
          </w:p>
        </w:tc>
      </w:tr>
      <w:tr w:rsidR="00500240" w:rsidRPr="00C82BA6" w14:paraId="3B3BF731" w14:textId="77777777" w:rsidTr="00500240">
        <w:tc>
          <w:tcPr>
            <w:tcW w:w="2245" w:type="dxa"/>
          </w:tcPr>
          <w:p w14:paraId="6659D78D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Fish and Wildlife Service</w:t>
            </w:r>
          </w:p>
        </w:tc>
        <w:tc>
          <w:tcPr>
            <w:tcW w:w="1260" w:type="dxa"/>
          </w:tcPr>
          <w:p w14:paraId="1FAF2FEA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CDE8DF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Tim Allen</w:t>
            </w:r>
          </w:p>
        </w:tc>
        <w:tc>
          <w:tcPr>
            <w:tcW w:w="3150" w:type="dxa"/>
          </w:tcPr>
          <w:p w14:paraId="5C6B63B7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tim_allen@fws.gov</w:t>
            </w:r>
          </w:p>
        </w:tc>
      </w:tr>
      <w:tr w:rsidR="00500240" w:rsidRPr="00C82BA6" w14:paraId="27D375CA" w14:textId="77777777" w:rsidTr="00500240">
        <w:tc>
          <w:tcPr>
            <w:tcW w:w="2245" w:type="dxa"/>
            <w:vMerge w:val="restart"/>
          </w:tcPr>
          <w:p w14:paraId="3ADA0FAF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Colorado</w:t>
            </w:r>
          </w:p>
        </w:tc>
        <w:tc>
          <w:tcPr>
            <w:tcW w:w="1260" w:type="dxa"/>
            <w:vMerge w:val="restart"/>
          </w:tcPr>
          <w:p w14:paraId="5A987A0C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CDPHE</w:t>
            </w:r>
          </w:p>
        </w:tc>
        <w:tc>
          <w:tcPr>
            <w:tcW w:w="1980" w:type="dxa"/>
          </w:tcPr>
          <w:p w14:paraId="268F1785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Kevin Briggs</w:t>
            </w:r>
          </w:p>
        </w:tc>
        <w:tc>
          <w:tcPr>
            <w:tcW w:w="3150" w:type="dxa"/>
          </w:tcPr>
          <w:p w14:paraId="5A861824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kevin.briggs@state.co.us</w:t>
            </w:r>
          </w:p>
        </w:tc>
      </w:tr>
      <w:tr w:rsidR="00500240" w:rsidRPr="00C82BA6" w14:paraId="333611D2" w14:textId="77777777" w:rsidTr="00500240">
        <w:tc>
          <w:tcPr>
            <w:tcW w:w="2245" w:type="dxa"/>
            <w:vMerge/>
          </w:tcPr>
          <w:p w14:paraId="765AA072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DCA1BFF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DA0AC61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Gordon Pierce</w:t>
            </w:r>
          </w:p>
        </w:tc>
        <w:tc>
          <w:tcPr>
            <w:tcW w:w="3150" w:type="dxa"/>
          </w:tcPr>
          <w:p w14:paraId="3801B531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gordon.pierce@state.co.us</w:t>
            </w:r>
          </w:p>
        </w:tc>
      </w:tr>
      <w:tr w:rsidR="00500240" w:rsidRPr="00C82BA6" w14:paraId="38DB4B80" w14:textId="77777777" w:rsidTr="00500240">
        <w:tc>
          <w:tcPr>
            <w:tcW w:w="2245" w:type="dxa"/>
            <w:vMerge/>
          </w:tcPr>
          <w:p w14:paraId="3C567AEF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CB6EDE7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0D190E7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Dale Wells</w:t>
            </w:r>
          </w:p>
        </w:tc>
        <w:tc>
          <w:tcPr>
            <w:tcW w:w="3150" w:type="dxa"/>
          </w:tcPr>
          <w:p w14:paraId="32B0F3E4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dale.wells@state.co.us</w:t>
            </w:r>
          </w:p>
        </w:tc>
      </w:tr>
      <w:tr w:rsidR="00500240" w:rsidRPr="00C82BA6" w14:paraId="5C5C72C3" w14:textId="77777777" w:rsidTr="00500240">
        <w:tc>
          <w:tcPr>
            <w:tcW w:w="2245" w:type="dxa"/>
            <w:vMerge w:val="restart"/>
          </w:tcPr>
          <w:p w14:paraId="136D62E3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Wyoming</w:t>
            </w:r>
          </w:p>
        </w:tc>
        <w:tc>
          <w:tcPr>
            <w:tcW w:w="1260" w:type="dxa"/>
            <w:vMerge w:val="restart"/>
          </w:tcPr>
          <w:p w14:paraId="667763C6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WDEQ</w:t>
            </w:r>
          </w:p>
        </w:tc>
        <w:tc>
          <w:tcPr>
            <w:tcW w:w="1980" w:type="dxa"/>
          </w:tcPr>
          <w:p w14:paraId="0D3B7D72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Ken Rairigh</w:t>
            </w:r>
          </w:p>
        </w:tc>
        <w:tc>
          <w:tcPr>
            <w:tcW w:w="3150" w:type="dxa"/>
          </w:tcPr>
          <w:p w14:paraId="3E484213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ken.rairigh@wyo.gov</w:t>
            </w:r>
          </w:p>
        </w:tc>
      </w:tr>
      <w:tr w:rsidR="00500240" w:rsidRPr="00C82BA6" w14:paraId="081D333C" w14:textId="77777777" w:rsidTr="00500240">
        <w:tc>
          <w:tcPr>
            <w:tcW w:w="2245" w:type="dxa"/>
            <w:vMerge/>
          </w:tcPr>
          <w:p w14:paraId="61AB9913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F1C5FDF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96AC0D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Darla Potter</w:t>
            </w:r>
          </w:p>
        </w:tc>
        <w:tc>
          <w:tcPr>
            <w:tcW w:w="3150" w:type="dxa"/>
          </w:tcPr>
          <w:p w14:paraId="055357DA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darla.potter@wyo.gov</w:t>
            </w:r>
          </w:p>
        </w:tc>
      </w:tr>
      <w:tr w:rsidR="00500240" w:rsidRPr="00C82BA6" w14:paraId="27FCA57D" w14:textId="77777777" w:rsidTr="00500240">
        <w:tc>
          <w:tcPr>
            <w:tcW w:w="2245" w:type="dxa"/>
            <w:vMerge/>
          </w:tcPr>
          <w:p w14:paraId="63433DD1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5A75D89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0BC05BF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Brian Hall</w:t>
            </w:r>
          </w:p>
        </w:tc>
        <w:tc>
          <w:tcPr>
            <w:tcW w:w="3150" w:type="dxa"/>
          </w:tcPr>
          <w:p w14:paraId="683533F8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brian.hall@wyo.gov</w:t>
            </w:r>
          </w:p>
        </w:tc>
      </w:tr>
      <w:tr w:rsidR="00500240" w:rsidRPr="00C82BA6" w14:paraId="28E4B900" w14:textId="77777777" w:rsidTr="00500240">
        <w:tc>
          <w:tcPr>
            <w:tcW w:w="2245" w:type="dxa"/>
            <w:vMerge/>
          </w:tcPr>
          <w:p w14:paraId="22657A0A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A078C01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E92C8F1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 xml:space="preserve">Cara </w:t>
            </w:r>
            <w:proofErr w:type="spellStart"/>
            <w:r w:rsidRPr="00C82BA6">
              <w:rPr>
                <w:sz w:val="20"/>
                <w:szCs w:val="20"/>
              </w:rPr>
              <w:t>Keslar</w:t>
            </w:r>
            <w:proofErr w:type="spellEnd"/>
          </w:p>
        </w:tc>
        <w:tc>
          <w:tcPr>
            <w:tcW w:w="3150" w:type="dxa"/>
          </w:tcPr>
          <w:p w14:paraId="6033C9CC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Cara.keslar@wyo.gov</w:t>
            </w:r>
          </w:p>
        </w:tc>
      </w:tr>
      <w:tr w:rsidR="00500240" w:rsidRPr="00C82BA6" w14:paraId="190511D7" w14:textId="77777777" w:rsidTr="00500240">
        <w:tc>
          <w:tcPr>
            <w:tcW w:w="2245" w:type="dxa"/>
            <w:vMerge/>
          </w:tcPr>
          <w:p w14:paraId="6999F357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2192F3D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3620D0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Brett Davis</w:t>
            </w:r>
          </w:p>
        </w:tc>
        <w:tc>
          <w:tcPr>
            <w:tcW w:w="3150" w:type="dxa"/>
          </w:tcPr>
          <w:p w14:paraId="56958362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Brett.davis@wyo.gov</w:t>
            </w:r>
          </w:p>
        </w:tc>
      </w:tr>
      <w:tr w:rsidR="00500240" w:rsidRPr="00C82BA6" w14:paraId="58C14F8F" w14:textId="77777777" w:rsidTr="00500240">
        <w:tc>
          <w:tcPr>
            <w:tcW w:w="2245" w:type="dxa"/>
            <w:vMerge/>
          </w:tcPr>
          <w:p w14:paraId="728A192E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6F4DCC4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C62A23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 xml:space="preserve">Steve </w:t>
            </w:r>
            <w:proofErr w:type="spellStart"/>
            <w:r w:rsidRPr="00C82BA6">
              <w:rPr>
                <w:sz w:val="20"/>
                <w:szCs w:val="20"/>
              </w:rPr>
              <w:t>Mugg</w:t>
            </w:r>
            <w:proofErr w:type="spellEnd"/>
          </w:p>
        </w:tc>
        <w:tc>
          <w:tcPr>
            <w:tcW w:w="3150" w:type="dxa"/>
          </w:tcPr>
          <w:p w14:paraId="4F4B5FE0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Steve.nugg@wyo.gov</w:t>
            </w:r>
          </w:p>
        </w:tc>
      </w:tr>
      <w:tr w:rsidR="00500240" w:rsidRPr="00C82BA6" w14:paraId="74277DC3" w14:textId="77777777" w:rsidTr="00500240">
        <w:tc>
          <w:tcPr>
            <w:tcW w:w="2245" w:type="dxa"/>
            <w:vMerge w:val="restart"/>
          </w:tcPr>
          <w:p w14:paraId="73142607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Utah</w:t>
            </w:r>
          </w:p>
        </w:tc>
        <w:tc>
          <w:tcPr>
            <w:tcW w:w="1260" w:type="dxa"/>
            <w:vMerge w:val="restart"/>
          </w:tcPr>
          <w:p w14:paraId="6703CF81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UDEQ</w:t>
            </w:r>
          </w:p>
        </w:tc>
        <w:tc>
          <w:tcPr>
            <w:tcW w:w="1980" w:type="dxa"/>
          </w:tcPr>
          <w:p w14:paraId="183C7689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 xml:space="preserve">Patrick Barickman  </w:t>
            </w:r>
          </w:p>
        </w:tc>
        <w:tc>
          <w:tcPr>
            <w:tcW w:w="3150" w:type="dxa"/>
          </w:tcPr>
          <w:p w14:paraId="629C241C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pbarickman@utah.gov</w:t>
            </w:r>
          </w:p>
        </w:tc>
      </w:tr>
      <w:tr w:rsidR="00500240" w:rsidRPr="00C82BA6" w14:paraId="4B5DE568" w14:textId="77777777" w:rsidTr="00500240">
        <w:tc>
          <w:tcPr>
            <w:tcW w:w="2245" w:type="dxa"/>
            <w:vMerge/>
          </w:tcPr>
          <w:p w14:paraId="2A1085CC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56E9A293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C0EB578" w14:textId="5A473099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 xml:space="preserve">Brock </w:t>
            </w:r>
            <w:r w:rsidR="00727E46">
              <w:rPr>
                <w:sz w:val="20"/>
                <w:szCs w:val="20"/>
              </w:rPr>
              <w:t>Le</w:t>
            </w:r>
            <w:r w:rsidRPr="00C82BA6">
              <w:rPr>
                <w:sz w:val="20"/>
                <w:szCs w:val="20"/>
              </w:rPr>
              <w:t>Baron</w:t>
            </w:r>
          </w:p>
        </w:tc>
        <w:tc>
          <w:tcPr>
            <w:tcW w:w="3150" w:type="dxa"/>
          </w:tcPr>
          <w:p w14:paraId="3B54B527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blebaron@utah.gov</w:t>
            </w:r>
          </w:p>
        </w:tc>
      </w:tr>
      <w:tr w:rsidR="00500240" w:rsidRPr="00C82BA6" w14:paraId="0819CBB5" w14:textId="77777777" w:rsidTr="00500240">
        <w:tc>
          <w:tcPr>
            <w:tcW w:w="2245" w:type="dxa"/>
            <w:vMerge/>
          </w:tcPr>
          <w:p w14:paraId="6C36A869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7E7B7FD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8A117E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Chris Pennell</w:t>
            </w:r>
          </w:p>
        </w:tc>
        <w:tc>
          <w:tcPr>
            <w:tcW w:w="3150" w:type="dxa"/>
          </w:tcPr>
          <w:p w14:paraId="4ECDEB89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cpennell@utah.gov</w:t>
            </w:r>
          </w:p>
        </w:tc>
      </w:tr>
      <w:tr w:rsidR="00500240" w:rsidRPr="00C82BA6" w14:paraId="4FA4CE3B" w14:textId="77777777" w:rsidTr="00500240">
        <w:tc>
          <w:tcPr>
            <w:tcW w:w="2245" w:type="dxa"/>
            <w:vMerge/>
          </w:tcPr>
          <w:p w14:paraId="60A895AD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3E82ED28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FD0F32B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Nancy Daher</w:t>
            </w:r>
          </w:p>
        </w:tc>
        <w:tc>
          <w:tcPr>
            <w:tcW w:w="3150" w:type="dxa"/>
          </w:tcPr>
          <w:p w14:paraId="4E0D9814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ndaher@utah.gov</w:t>
            </w:r>
          </w:p>
        </w:tc>
      </w:tr>
      <w:tr w:rsidR="00500240" w:rsidRPr="00C82BA6" w14:paraId="5F57873E" w14:textId="77777777" w:rsidTr="00500240">
        <w:tc>
          <w:tcPr>
            <w:tcW w:w="2245" w:type="dxa"/>
            <w:vMerge/>
          </w:tcPr>
          <w:p w14:paraId="0088815C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FD74452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064C379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Whitney Oswald</w:t>
            </w:r>
          </w:p>
        </w:tc>
        <w:tc>
          <w:tcPr>
            <w:tcW w:w="3150" w:type="dxa"/>
          </w:tcPr>
          <w:p w14:paraId="44ABDB73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woswald@utah.gov</w:t>
            </w:r>
          </w:p>
        </w:tc>
      </w:tr>
      <w:tr w:rsidR="00500240" w:rsidRPr="00C82BA6" w14:paraId="1B0232D1" w14:textId="77777777" w:rsidTr="00500240">
        <w:tc>
          <w:tcPr>
            <w:tcW w:w="2245" w:type="dxa"/>
            <w:vMerge w:val="restart"/>
          </w:tcPr>
          <w:p w14:paraId="5477C643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New Mexico</w:t>
            </w:r>
          </w:p>
        </w:tc>
        <w:tc>
          <w:tcPr>
            <w:tcW w:w="1260" w:type="dxa"/>
            <w:vMerge w:val="restart"/>
          </w:tcPr>
          <w:p w14:paraId="11FDE6CA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NMED</w:t>
            </w:r>
          </w:p>
        </w:tc>
        <w:tc>
          <w:tcPr>
            <w:tcW w:w="1980" w:type="dxa"/>
          </w:tcPr>
          <w:p w14:paraId="548B7CD1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Rita Bates</w:t>
            </w:r>
          </w:p>
        </w:tc>
        <w:tc>
          <w:tcPr>
            <w:tcW w:w="3150" w:type="dxa"/>
          </w:tcPr>
          <w:p w14:paraId="064048ED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Rita.Bates@state.nm.us</w:t>
            </w:r>
          </w:p>
        </w:tc>
      </w:tr>
      <w:tr w:rsidR="00500240" w:rsidRPr="00C82BA6" w14:paraId="6657525F" w14:textId="77777777" w:rsidTr="00500240">
        <w:tc>
          <w:tcPr>
            <w:tcW w:w="2245" w:type="dxa"/>
            <w:vMerge/>
            <w:tcBorders>
              <w:bottom w:val="single" w:sz="4" w:space="0" w:color="auto"/>
            </w:tcBorders>
          </w:tcPr>
          <w:p w14:paraId="3E643E2A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6B19A9D" w14:textId="77777777" w:rsidR="00500240" w:rsidRPr="00C82BA6" w:rsidRDefault="00500240" w:rsidP="005002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854C36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Mark Jones</w:t>
            </w:r>
          </w:p>
        </w:tc>
        <w:tc>
          <w:tcPr>
            <w:tcW w:w="3150" w:type="dxa"/>
          </w:tcPr>
          <w:p w14:paraId="42C9588F" w14:textId="77777777" w:rsidR="00500240" w:rsidRPr="00C82BA6" w:rsidRDefault="00500240" w:rsidP="00500240">
            <w:pPr>
              <w:rPr>
                <w:sz w:val="20"/>
                <w:szCs w:val="20"/>
              </w:rPr>
            </w:pPr>
            <w:r w:rsidRPr="00C82BA6">
              <w:rPr>
                <w:sz w:val="20"/>
                <w:szCs w:val="20"/>
              </w:rPr>
              <w:t>mark.jones@state.nm.us</w:t>
            </w:r>
          </w:p>
        </w:tc>
      </w:tr>
    </w:tbl>
    <w:p w14:paraId="09D16E26" w14:textId="77777777" w:rsidR="001659E0" w:rsidRDefault="001659E0" w:rsidP="00B316A1">
      <w:pPr>
        <w:pStyle w:val="NoSpacing"/>
      </w:pPr>
    </w:p>
    <w:sectPr w:rsidR="001659E0" w:rsidSect="00DD0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48986" w14:textId="77777777" w:rsidR="009C6FD1" w:rsidRDefault="009C6FD1" w:rsidP="009C6FD1">
      <w:pPr>
        <w:spacing w:after="0" w:line="240" w:lineRule="auto"/>
      </w:pPr>
      <w:r>
        <w:separator/>
      </w:r>
    </w:p>
  </w:endnote>
  <w:endnote w:type="continuationSeparator" w:id="0">
    <w:p w14:paraId="588162CD" w14:textId="77777777" w:rsidR="009C6FD1" w:rsidRDefault="009C6FD1" w:rsidP="009C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A510" w14:textId="77777777" w:rsidR="00BE14D5" w:rsidRDefault="00BE1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227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8E916" w14:textId="4CB431BB" w:rsidR="009C6FD1" w:rsidRDefault="009C6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0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8AD54E" w14:textId="77777777" w:rsidR="009C6FD1" w:rsidRDefault="009C6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3D88" w14:textId="77777777" w:rsidR="00BE14D5" w:rsidRDefault="00BE1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50A3" w14:textId="77777777" w:rsidR="009C6FD1" w:rsidRDefault="009C6FD1" w:rsidP="009C6FD1">
      <w:pPr>
        <w:spacing w:after="0" w:line="240" w:lineRule="auto"/>
      </w:pPr>
      <w:r>
        <w:separator/>
      </w:r>
    </w:p>
  </w:footnote>
  <w:footnote w:type="continuationSeparator" w:id="0">
    <w:p w14:paraId="3958AA60" w14:textId="77777777" w:rsidR="009C6FD1" w:rsidRDefault="009C6FD1" w:rsidP="009C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5B58" w14:textId="77777777" w:rsidR="00BE14D5" w:rsidRDefault="00BE1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EA07" w14:textId="77777777" w:rsidR="00BE14D5" w:rsidRDefault="00BE14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F0E4A" w14:textId="77777777" w:rsidR="00BE14D5" w:rsidRDefault="00BE1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FC2"/>
    <w:multiLevelType w:val="hybridMultilevel"/>
    <w:tmpl w:val="6C60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421"/>
    <w:multiLevelType w:val="hybridMultilevel"/>
    <w:tmpl w:val="F02A170A"/>
    <w:lvl w:ilvl="0" w:tplc="4D7CE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9A7A">
      <w:start w:val="1"/>
      <w:numFmt w:val="decimal"/>
      <w:lvlText w:val="3.%2"/>
      <w:lvlJc w:val="left"/>
      <w:pPr>
        <w:ind w:left="67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6F93"/>
    <w:multiLevelType w:val="hybridMultilevel"/>
    <w:tmpl w:val="4F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50446"/>
    <w:multiLevelType w:val="hybridMultilevel"/>
    <w:tmpl w:val="25EE8E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BAD448E"/>
    <w:multiLevelType w:val="hybridMultilevel"/>
    <w:tmpl w:val="79C6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2484"/>
    <w:multiLevelType w:val="hybridMultilevel"/>
    <w:tmpl w:val="153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15"/>
    <w:rsid w:val="000F27D1"/>
    <w:rsid w:val="00144516"/>
    <w:rsid w:val="001659E0"/>
    <w:rsid w:val="00181002"/>
    <w:rsid w:val="001E07C9"/>
    <w:rsid w:val="0025054A"/>
    <w:rsid w:val="002A3232"/>
    <w:rsid w:val="003533F8"/>
    <w:rsid w:val="003559BA"/>
    <w:rsid w:val="00430892"/>
    <w:rsid w:val="00500240"/>
    <w:rsid w:val="00562EE7"/>
    <w:rsid w:val="006A1CEB"/>
    <w:rsid w:val="00727E46"/>
    <w:rsid w:val="007E5E97"/>
    <w:rsid w:val="007F4420"/>
    <w:rsid w:val="0082732B"/>
    <w:rsid w:val="008D0415"/>
    <w:rsid w:val="008E08C3"/>
    <w:rsid w:val="009827D4"/>
    <w:rsid w:val="009C6FD1"/>
    <w:rsid w:val="00A1190C"/>
    <w:rsid w:val="00A259EF"/>
    <w:rsid w:val="00B204E1"/>
    <w:rsid w:val="00B316A1"/>
    <w:rsid w:val="00BE14D5"/>
    <w:rsid w:val="00C82BA6"/>
    <w:rsid w:val="00CA5FEE"/>
    <w:rsid w:val="00CD0BE2"/>
    <w:rsid w:val="00D05156"/>
    <w:rsid w:val="00DD0961"/>
    <w:rsid w:val="00E02DB6"/>
    <w:rsid w:val="00EE4AF7"/>
    <w:rsid w:val="00F36E9E"/>
    <w:rsid w:val="00F430E5"/>
    <w:rsid w:val="00FA2708"/>
    <w:rsid w:val="00FC5055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41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415"/>
    <w:pPr>
      <w:spacing w:after="0" w:line="240" w:lineRule="auto"/>
    </w:pPr>
  </w:style>
  <w:style w:type="table" w:styleId="TableGrid">
    <w:name w:val="Table Grid"/>
    <w:basedOn w:val="TableNormal"/>
    <w:uiPriority w:val="39"/>
    <w:rsid w:val="0016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9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90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3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0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D1"/>
  </w:style>
  <w:style w:type="paragraph" w:styleId="Footer">
    <w:name w:val="footer"/>
    <w:basedOn w:val="Normal"/>
    <w:link w:val="FooterChar"/>
    <w:uiPriority w:val="99"/>
    <w:unhideWhenUsed/>
    <w:rsid w:val="009C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hall@fs.fed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2016-03-07T21:40:00Z</dcterms:created>
  <dcterms:modified xsi:type="dcterms:W3CDTF">2016-03-22T19:14:00Z</dcterms:modified>
</cp:coreProperties>
</file>