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2CD25" w14:textId="77777777" w:rsidR="002A27E6" w:rsidRPr="007E22AE" w:rsidRDefault="002A27E6" w:rsidP="007E22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2AE">
        <w:rPr>
          <w:rFonts w:ascii="Times New Roman" w:hAnsi="Times New Roman" w:cs="Times New Roman"/>
          <w:b/>
          <w:sz w:val="24"/>
          <w:szCs w:val="24"/>
          <w:u w:val="single"/>
        </w:rPr>
        <w:t>MEMORANDUM</w:t>
      </w:r>
    </w:p>
    <w:p w14:paraId="1314EF71" w14:textId="77777777" w:rsidR="002A27E6" w:rsidRPr="007E22AE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28437" w14:textId="77777777" w:rsidR="002A27E6" w:rsidRPr="007E22AE" w:rsidRDefault="002A27E6" w:rsidP="00E60437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SUBJECT:</w:t>
      </w:r>
      <w:r w:rsidRPr="007E22AE">
        <w:rPr>
          <w:rFonts w:ascii="Times New Roman" w:hAnsi="Times New Roman" w:cs="Times New Roman"/>
          <w:sz w:val="24"/>
          <w:szCs w:val="24"/>
        </w:rPr>
        <w:tab/>
        <w:t>Recommendations</w:t>
      </w:r>
      <w:r w:rsidR="00BF5C61">
        <w:rPr>
          <w:rFonts w:ascii="Times New Roman" w:hAnsi="Times New Roman" w:cs="Times New Roman"/>
          <w:sz w:val="24"/>
          <w:szCs w:val="24"/>
        </w:rPr>
        <w:t xml:space="preserve"> on the</w:t>
      </w:r>
      <w:r w:rsidRPr="007E22AE">
        <w:rPr>
          <w:rFonts w:ascii="Times New Roman" w:hAnsi="Times New Roman" w:cs="Times New Roman"/>
          <w:sz w:val="24"/>
          <w:szCs w:val="24"/>
        </w:rPr>
        <w:t xml:space="preserve"> Use of the </w:t>
      </w:r>
      <w:r w:rsidR="00BF5C61" w:rsidRPr="007E22AE">
        <w:rPr>
          <w:rFonts w:ascii="Times New Roman" w:hAnsi="Times New Roman" w:cs="Times New Roman"/>
          <w:sz w:val="24"/>
          <w:szCs w:val="24"/>
        </w:rPr>
        <w:t xml:space="preserve">Intermountain West Data Warehouse for Air Quality </w:t>
      </w:r>
      <w:r w:rsidRPr="007E22AE">
        <w:rPr>
          <w:rFonts w:ascii="Times New Roman" w:hAnsi="Times New Roman" w:cs="Times New Roman"/>
          <w:sz w:val="24"/>
          <w:szCs w:val="24"/>
        </w:rPr>
        <w:t>2011b Model Platform</w:t>
      </w:r>
    </w:p>
    <w:p w14:paraId="1E06F45F" w14:textId="77777777" w:rsidR="002A27E6" w:rsidRPr="007E22AE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D66FB" w14:textId="2A0AD5BE" w:rsidR="002A27E6" w:rsidRPr="007E22AE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 xml:space="preserve">FROM: </w:t>
      </w:r>
      <w:r w:rsidRPr="007E22AE">
        <w:rPr>
          <w:rFonts w:ascii="Times New Roman" w:hAnsi="Times New Roman" w:cs="Times New Roman"/>
          <w:sz w:val="24"/>
          <w:szCs w:val="24"/>
        </w:rPr>
        <w:tab/>
        <w:t xml:space="preserve">Intermountain West Data Warehouse </w:t>
      </w:r>
      <w:r w:rsidR="00BB491F">
        <w:rPr>
          <w:rFonts w:ascii="Times New Roman" w:hAnsi="Times New Roman" w:cs="Times New Roman"/>
          <w:sz w:val="24"/>
          <w:szCs w:val="24"/>
        </w:rPr>
        <w:t xml:space="preserve">– Western </w:t>
      </w:r>
      <w:r w:rsidRPr="007E22AE">
        <w:rPr>
          <w:rFonts w:ascii="Times New Roman" w:hAnsi="Times New Roman" w:cs="Times New Roman"/>
          <w:sz w:val="24"/>
          <w:szCs w:val="24"/>
        </w:rPr>
        <w:t>Air Quality</w:t>
      </w:r>
      <w:r w:rsidR="00BB491F">
        <w:rPr>
          <w:rFonts w:ascii="Times New Roman" w:hAnsi="Times New Roman" w:cs="Times New Roman"/>
          <w:sz w:val="24"/>
          <w:szCs w:val="24"/>
        </w:rPr>
        <w:t xml:space="preserve"> Study </w:t>
      </w:r>
      <w:r w:rsidRPr="007E22AE">
        <w:rPr>
          <w:rFonts w:ascii="Times New Roman" w:hAnsi="Times New Roman" w:cs="Times New Roman"/>
          <w:sz w:val="24"/>
          <w:szCs w:val="24"/>
        </w:rPr>
        <w:tab/>
        <w:t>Oversight Committee</w:t>
      </w:r>
    </w:p>
    <w:p w14:paraId="7B54773C" w14:textId="77777777" w:rsidR="002A27E6" w:rsidRPr="007E22AE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F20A5" w14:textId="77777777" w:rsidR="002A27E6" w:rsidRPr="007E22AE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22AE">
        <w:rPr>
          <w:rFonts w:ascii="Times New Roman" w:hAnsi="Times New Roman" w:cs="Times New Roman"/>
          <w:sz w:val="24"/>
          <w:szCs w:val="24"/>
        </w:rPr>
        <w:t>TO:</w:t>
      </w:r>
      <w:r w:rsidRPr="007E22AE">
        <w:rPr>
          <w:rFonts w:ascii="Times New Roman" w:hAnsi="Times New Roman" w:cs="Times New Roman"/>
          <w:sz w:val="24"/>
          <w:szCs w:val="24"/>
        </w:rPr>
        <w:tab/>
      </w:r>
      <w:r w:rsidRPr="007E22AE">
        <w:rPr>
          <w:rFonts w:ascii="Times New Roman" w:hAnsi="Times New Roman" w:cs="Times New Roman"/>
          <w:sz w:val="24"/>
          <w:szCs w:val="24"/>
        </w:rPr>
        <w:tab/>
        <w:t>Intermountain West Data Warehouse Users</w:t>
      </w:r>
    </w:p>
    <w:p w14:paraId="2C4450DB" w14:textId="77777777" w:rsidR="002A27E6" w:rsidRPr="007E22AE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E9F39" w14:textId="786B0FD4" w:rsidR="002A27E6" w:rsidRPr="003B2C10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C10">
        <w:rPr>
          <w:rFonts w:ascii="Times New Roman" w:hAnsi="Times New Roman" w:cs="Times New Roman"/>
          <w:sz w:val="24"/>
          <w:szCs w:val="24"/>
        </w:rPr>
        <w:t>DATE:</w:t>
      </w:r>
      <w:r w:rsidRPr="003B2C10">
        <w:rPr>
          <w:rFonts w:ascii="Times New Roman" w:hAnsi="Times New Roman" w:cs="Times New Roman"/>
          <w:sz w:val="24"/>
          <w:szCs w:val="24"/>
        </w:rPr>
        <w:tab/>
      </w:r>
      <w:r w:rsidRPr="003B2C10"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3B2C10">
        <w:rPr>
          <w:rFonts w:ascii="Times New Roman" w:hAnsi="Times New Roman" w:cs="Times New Roman"/>
          <w:sz w:val="24"/>
          <w:szCs w:val="24"/>
        </w:rPr>
        <w:t>20</w:t>
      </w:r>
      <w:r w:rsidRPr="003B2C10">
        <w:rPr>
          <w:rFonts w:ascii="Times New Roman" w:hAnsi="Times New Roman" w:cs="Times New Roman"/>
          <w:sz w:val="24"/>
          <w:szCs w:val="24"/>
        </w:rPr>
        <w:t>, 2016</w:t>
      </w:r>
    </w:p>
    <w:p w14:paraId="1E8F3A5B" w14:textId="77777777" w:rsidR="002A27E6" w:rsidRPr="003B2C10" w:rsidRDefault="002A27E6" w:rsidP="007E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AC85A" w14:textId="649951FF" w:rsidR="002A27E6" w:rsidRPr="00593F44" w:rsidRDefault="002A27E6" w:rsidP="00376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C10">
        <w:rPr>
          <w:rFonts w:ascii="Times New Roman" w:hAnsi="Times New Roman" w:cs="Times New Roman"/>
          <w:sz w:val="24"/>
          <w:szCs w:val="24"/>
        </w:rPr>
        <w:t xml:space="preserve">The Intermountain West Data Warehouse </w:t>
      </w:r>
      <w:r w:rsidR="00BB491F" w:rsidRPr="003B2C10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BB491F" w:rsidRPr="003B2C10">
        <w:rPr>
          <w:rFonts w:ascii="Times New Roman" w:hAnsi="Times New Roman" w:cs="Times New Roman"/>
          <w:sz w:val="24"/>
          <w:szCs w:val="24"/>
        </w:rPr>
        <w:t xml:space="preserve"> Western </w:t>
      </w:r>
      <w:r w:rsidRPr="003B2C10">
        <w:rPr>
          <w:rFonts w:ascii="Times New Roman" w:hAnsi="Times New Roman" w:cs="Times New Roman"/>
          <w:sz w:val="24"/>
          <w:szCs w:val="24"/>
        </w:rPr>
        <w:t xml:space="preserve">Air Quality </w:t>
      </w:r>
      <w:r w:rsidR="00BB491F" w:rsidRPr="003B2C10">
        <w:rPr>
          <w:rFonts w:ascii="Times New Roman" w:hAnsi="Times New Roman" w:cs="Times New Roman"/>
          <w:sz w:val="24"/>
          <w:szCs w:val="24"/>
        </w:rPr>
        <w:t xml:space="preserve">Study </w:t>
      </w:r>
      <w:r w:rsidRPr="003B2C10">
        <w:rPr>
          <w:rFonts w:ascii="Times New Roman" w:hAnsi="Times New Roman" w:cs="Times New Roman"/>
          <w:sz w:val="24"/>
          <w:szCs w:val="24"/>
        </w:rPr>
        <w:t>(IWDW-</w:t>
      </w:r>
      <w:r w:rsidR="00BB491F" w:rsidRPr="003B2C10">
        <w:rPr>
          <w:rFonts w:ascii="Times New Roman" w:hAnsi="Times New Roman" w:cs="Times New Roman"/>
          <w:sz w:val="24"/>
          <w:szCs w:val="24"/>
        </w:rPr>
        <w:t>W</w:t>
      </w:r>
      <w:r w:rsidRPr="003B2C10">
        <w:rPr>
          <w:rFonts w:ascii="Times New Roman" w:hAnsi="Times New Roman" w:cs="Times New Roman"/>
          <w:sz w:val="24"/>
          <w:szCs w:val="24"/>
        </w:rPr>
        <w:t>AQ</w:t>
      </w:r>
      <w:r w:rsidR="00BB491F" w:rsidRPr="003B2C10">
        <w:rPr>
          <w:rFonts w:ascii="Times New Roman" w:hAnsi="Times New Roman" w:cs="Times New Roman"/>
          <w:sz w:val="24"/>
          <w:szCs w:val="24"/>
        </w:rPr>
        <w:t>S</w:t>
      </w:r>
      <w:r w:rsidRPr="003B2C10">
        <w:rPr>
          <w:rFonts w:ascii="Times New Roman" w:hAnsi="Times New Roman" w:cs="Times New Roman"/>
          <w:sz w:val="24"/>
          <w:szCs w:val="24"/>
        </w:rPr>
        <w:t xml:space="preserve">) produced an updated air quality model platform for </w:t>
      </w:r>
      <w:r w:rsidR="008B38F0" w:rsidRPr="003B2C10">
        <w:rPr>
          <w:rFonts w:ascii="Times New Roman" w:hAnsi="Times New Roman" w:cs="Times New Roman"/>
          <w:sz w:val="24"/>
          <w:szCs w:val="24"/>
        </w:rPr>
        <w:t xml:space="preserve">year </w:t>
      </w:r>
      <w:r w:rsidRPr="003B2C10">
        <w:rPr>
          <w:rFonts w:ascii="Times New Roman" w:hAnsi="Times New Roman" w:cs="Times New Roman"/>
          <w:sz w:val="24"/>
          <w:szCs w:val="24"/>
        </w:rPr>
        <w:t>2011 (</w:t>
      </w:r>
      <w:r w:rsidR="008B38F0" w:rsidRPr="003B2C10">
        <w:rPr>
          <w:rFonts w:ascii="Times New Roman" w:hAnsi="Times New Roman" w:cs="Times New Roman"/>
          <w:sz w:val="24"/>
          <w:szCs w:val="24"/>
        </w:rPr>
        <w:t xml:space="preserve">hereafter </w:t>
      </w:r>
      <w:r w:rsidRPr="003B2C10">
        <w:rPr>
          <w:rFonts w:ascii="Times New Roman" w:hAnsi="Times New Roman" w:cs="Times New Roman"/>
          <w:sz w:val="24"/>
          <w:szCs w:val="24"/>
        </w:rPr>
        <w:t xml:space="preserve">referred to as “2011b”). </w:t>
      </w:r>
      <w:r w:rsidR="007E22AE" w:rsidRPr="003B2C10">
        <w:rPr>
          <w:rFonts w:ascii="Times New Roman" w:hAnsi="Times New Roman" w:cs="Times New Roman"/>
          <w:sz w:val="24"/>
          <w:szCs w:val="24"/>
        </w:rPr>
        <w:t>The 2011b model platform and individual components, as described below, have been reviewed and approved by the Cooperators of the study. The model</w:t>
      </w:r>
      <w:r w:rsidR="009D06F0" w:rsidRPr="003B2C10">
        <w:rPr>
          <w:rFonts w:ascii="Times New Roman" w:hAnsi="Times New Roman" w:cs="Times New Roman"/>
          <w:sz w:val="24"/>
          <w:szCs w:val="24"/>
        </w:rPr>
        <w:t xml:space="preserve"> products will be</w:t>
      </w:r>
      <w:r w:rsidR="007E22AE" w:rsidRPr="003B2C10">
        <w:rPr>
          <w:rFonts w:ascii="Times New Roman" w:hAnsi="Times New Roman" w:cs="Times New Roman"/>
          <w:sz w:val="24"/>
          <w:szCs w:val="24"/>
        </w:rPr>
        <w:t xml:space="preserve"> released on</w:t>
      </w:r>
      <w:r w:rsidR="003760BA" w:rsidRPr="003B2C10">
        <w:rPr>
          <w:rFonts w:ascii="Times New Roman" w:hAnsi="Times New Roman" w:cs="Times New Roman"/>
          <w:sz w:val="24"/>
          <w:szCs w:val="24"/>
        </w:rPr>
        <w:t xml:space="preserve"> </w:t>
      </w:r>
      <w:r w:rsidR="003760BA" w:rsidRPr="003B2C10">
        <w:rPr>
          <w:rFonts w:ascii="Times New Roman" w:hAnsi="Times New Roman" w:cs="Times New Roman"/>
          <w:sz w:val="24"/>
          <w:szCs w:val="24"/>
          <w:highlight w:val="yellow"/>
        </w:rPr>
        <w:t>Ap</w:t>
      </w:r>
      <w:r w:rsidR="008B38F0" w:rsidRPr="003B2C10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3760BA" w:rsidRPr="003B2C10">
        <w:rPr>
          <w:rFonts w:ascii="Times New Roman" w:hAnsi="Times New Roman" w:cs="Times New Roman"/>
          <w:sz w:val="24"/>
          <w:szCs w:val="24"/>
          <w:highlight w:val="yellow"/>
        </w:rPr>
        <w:t>il</w:t>
      </w:r>
      <w:r w:rsidR="003B2C10" w:rsidRPr="003B2C10">
        <w:rPr>
          <w:rFonts w:ascii="Times New Roman" w:hAnsi="Times New Roman" w:cs="Times New Roman"/>
          <w:sz w:val="24"/>
          <w:szCs w:val="24"/>
          <w:highlight w:val="yellow"/>
        </w:rPr>
        <w:t xml:space="preserve"> XX</w:t>
      </w:r>
      <w:r w:rsidR="007E22AE" w:rsidRPr="003B2C10">
        <w:rPr>
          <w:rFonts w:ascii="Times New Roman" w:hAnsi="Times New Roman" w:cs="Times New Roman"/>
          <w:sz w:val="24"/>
          <w:szCs w:val="24"/>
          <w:highlight w:val="yellow"/>
        </w:rPr>
        <w:t>, 2016</w:t>
      </w:r>
      <w:r w:rsidR="007E22AE" w:rsidRPr="003B2C10">
        <w:rPr>
          <w:rFonts w:ascii="Times New Roman" w:hAnsi="Times New Roman" w:cs="Times New Roman"/>
          <w:sz w:val="24"/>
          <w:szCs w:val="24"/>
        </w:rPr>
        <w:t xml:space="preserve"> for use in regional air quality modeling studies by the cooperating agencies and for external users</w:t>
      </w:r>
      <w:r w:rsidR="00BB491F" w:rsidRPr="003B2C10">
        <w:rPr>
          <w:rFonts w:ascii="Times New Roman" w:hAnsi="Times New Roman" w:cs="Times New Roman"/>
          <w:sz w:val="24"/>
          <w:szCs w:val="24"/>
        </w:rPr>
        <w:t xml:space="preserve"> </w:t>
      </w:r>
      <w:r w:rsidR="00B6592A" w:rsidRPr="003B2C10">
        <w:rPr>
          <w:rFonts w:ascii="Times New Roman" w:hAnsi="Times New Roman" w:cs="Times New Roman"/>
          <w:sz w:val="24"/>
          <w:szCs w:val="24"/>
        </w:rPr>
        <w:t>accepting the</w:t>
      </w:r>
      <w:r w:rsidR="00B6592A">
        <w:rPr>
          <w:rFonts w:ascii="Times New Roman" w:hAnsi="Times New Roman" w:cs="Times New Roman"/>
          <w:sz w:val="24"/>
          <w:szCs w:val="24"/>
        </w:rPr>
        <w:t xml:space="preserve"> terms of </w:t>
      </w:r>
      <w:r w:rsidR="00BB491F">
        <w:rPr>
          <w:rFonts w:ascii="Times New Roman" w:hAnsi="Times New Roman" w:cs="Times New Roman"/>
          <w:sz w:val="24"/>
          <w:szCs w:val="24"/>
        </w:rPr>
        <w:t xml:space="preserve">the IWDW Data Use Agreement and </w:t>
      </w:r>
      <w:r w:rsidR="007E22AE" w:rsidRPr="00593F44">
        <w:rPr>
          <w:rFonts w:ascii="Times New Roman" w:hAnsi="Times New Roman" w:cs="Times New Roman"/>
          <w:sz w:val="24"/>
          <w:szCs w:val="24"/>
        </w:rPr>
        <w:t>a</w:t>
      </w:r>
      <w:r w:rsidR="00BB491F">
        <w:rPr>
          <w:rFonts w:ascii="Times New Roman" w:hAnsi="Times New Roman" w:cs="Times New Roman"/>
          <w:sz w:val="24"/>
          <w:szCs w:val="24"/>
        </w:rPr>
        <w:t>uthorized</w:t>
      </w:r>
      <w:r w:rsidR="007E22AE" w:rsidRPr="00593F44">
        <w:rPr>
          <w:rFonts w:ascii="Times New Roman" w:hAnsi="Times New Roman" w:cs="Times New Roman"/>
          <w:sz w:val="24"/>
          <w:szCs w:val="24"/>
        </w:rPr>
        <w:t xml:space="preserve"> by the </w:t>
      </w:r>
      <w:r w:rsidR="00C636A5">
        <w:rPr>
          <w:rFonts w:ascii="Times New Roman" w:hAnsi="Times New Roman" w:cs="Times New Roman"/>
          <w:sz w:val="24"/>
          <w:szCs w:val="24"/>
        </w:rPr>
        <w:t>C</w:t>
      </w:r>
      <w:r w:rsidR="007E22AE" w:rsidRPr="00593F44">
        <w:rPr>
          <w:rFonts w:ascii="Times New Roman" w:hAnsi="Times New Roman" w:cs="Times New Roman"/>
          <w:sz w:val="24"/>
          <w:szCs w:val="24"/>
        </w:rPr>
        <w:t>ooperators.</w:t>
      </w:r>
    </w:p>
    <w:p w14:paraId="2A15043B" w14:textId="77777777" w:rsidR="003760BA" w:rsidRPr="00593F44" w:rsidRDefault="003760BA" w:rsidP="003760BA">
      <w:pPr>
        <w:pStyle w:val="NormalWeb"/>
        <w:spacing w:before="0" w:beforeAutospacing="0" w:after="0" w:afterAutospacing="0"/>
      </w:pPr>
    </w:p>
    <w:p w14:paraId="0350159E" w14:textId="77777777" w:rsidR="008405B3" w:rsidRPr="008405B3" w:rsidRDefault="007E22AE" w:rsidP="0084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>The 2011b model platform replaces the 2011a model platform</w:t>
      </w:r>
      <w:r w:rsidR="002B7167" w:rsidRPr="008405B3">
        <w:rPr>
          <w:rFonts w:ascii="Times New Roman" w:hAnsi="Times New Roman" w:cs="Times New Roman"/>
          <w:sz w:val="24"/>
          <w:szCs w:val="24"/>
        </w:rPr>
        <w:t xml:space="preserve">, and </w:t>
      </w:r>
      <w:r w:rsidR="003760BA" w:rsidRPr="008405B3">
        <w:rPr>
          <w:rFonts w:ascii="Times New Roman" w:hAnsi="Times New Roman" w:cs="Times New Roman"/>
          <w:sz w:val="24"/>
          <w:szCs w:val="24"/>
        </w:rPr>
        <w:t>it is recommended that the C</w:t>
      </w:r>
      <w:r w:rsidR="002B7167" w:rsidRPr="008405B3">
        <w:rPr>
          <w:rFonts w:ascii="Times New Roman" w:hAnsi="Times New Roman" w:cs="Times New Roman"/>
          <w:sz w:val="24"/>
          <w:szCs w:val="24"/>
        </w:rPr>
        <w:t>ooperat</w:t>
      </w:r>
      <w:r w:rsidR="003760BA" w:rsidRPr="008405B3">
        <w:rPr>
          <w:rFonts w:ascii="Times New Roman" w:hAnsi="Times New Roman" w:cs="Times New Roman"/>
          <w:sz w:val="24"/>
          <w:szCs w:val="24"/>
        </w:rPr>
        <w:t xml:space="preserve">ors </w:t>
      </w:r>
      <w:r w:rsidR="002B7167" w:rsidRPr="008405B3">
        <w:rPr>
          <w:rFonts w:ascii="Times New Roman" w:hAnsi="Times New Roman" w:cs="Times New Roman"/>
          <w:sz w:val="24"/>
          <w:szCs w:val="24"/>
        </w:rPr>
        <w:t>use the products from the 2011b</w:t>
      </w:r>
      <w:r w:rsidR="008B38F0" w:rsidRPr="008405B3">
        <w:rPr>
          <w:rFonts w:ascii="Times New Roman" w:hAnsi="Times New Roman" w:cs="Times New Roman"/>
          <w:sz w:val="24"/>
          <w:szCs w:val="24"/>
        </w:rPr>
        <w:t xml:space="preserve"> platform</w:t>
      </w:r>
      <w:r w:rsidR="002B7167" w:rsidRPr="008405B3">
        <w:rPr>
          <w:rFonts w:ascii="Times New Roman" w:hAnsi="Times New Roman" w:cs="Times New Roman"/>
          <w:sz w:val="24"/>
          <w:szCs w:val="24"/>
        </w:rPr>
        <w:t xml:space="preserve"> </w:t>
      </w:r>
      <w:r w:rsidR="003760BA" w:rsidRPr="008405B3">
        <w:rPr>
          <w:rFonts w:ascii="Times New Roman" w:hAnsi="Times New Roman" w:cs="Times New Roman"/>
          <w:sz w:val="24"/>
          <w:szCs w:val="24"/>
        </w:rPr>
        <w:t xml:space="preserve">in their </w:t>
      </w:r>
      <w:r w:rsidR="009D06F0" w:rsidRPr="008405B3">
        <w:rPr>
          <w:rFonts w:ascii="Times New Roman" w:hAnsi="Times New Roman" w:cs="Times New Roman"/>
          <w:sz w:val="24"/>
          <w:szCs w:val="24"/>
        </w:rPr>
        <w:t xml:space="preserve">upcoming </w:t>
      </w:r>
      <w:r w:rsidR="003760BA" w:rsidRPr="008405B3">
        <w:rPr>
          <w:rFonts w:ascii="Times New Roman" w:hAnsi="Times New Roman" w:cs="Times New Roman"/>
          <w:sz w:val="24"/>
          <w:szCs w:val="24"/>
        </w:rPr>
        <w:t xml:space="preserve">air quality studies </w:t>
      </w:r>
      <w:r w:rsidR="002B7167" w:rsidRPr="008405B3">
        <w:rPr>
          <w:rFonts w:ascii="Times New Roman" w:hAnsi="Times New Roman" w:cs="Times New Roman"/>
          <w:sz w:val="24"/>
          <w:szCs w:val="24"/>
        </w:rPr>
        <w:t xml:space="preserve">until additional updates or improvements have been made </w:t>
      </w:r>
      <w:r w:rsidR="009D06F0" w:rsidRPr="008405B3">
        <w:rPr>
          <w:rFonts w:ascii="Times New Roman" w:hAnsi="Times New Roman" w:cs="Times New Roman"/>
          <w:sz w:val="24"/>
          <w:szCs w:val="24"/>
        </w:rPr>
        <w:t>available through the IWDW</w:t>
      </w:r>
      <w:r w:rsidR="002B7167" w:rsidRPr="008405B3">
        <w:rPr>
          <w:rFonts w:ascii="Times New Roman" w:hAnsi="Times New Roman" w:cs="Times New Roman"/>
          <w:sz w:val="24"/>
          <w:szCs w:val="24"/>
        </w:rPr>
        <w:t xml:space="preserve">. </w:t>
      </w:r>
      <w:r w:rsidR="003760BA" w:rsidRPr="008405B3">
        <w:rPr>
          <w:rFonts w:ascii="Times New Roman" w:hAnsi="Times New Roman" w:cs="Times New Roman"/>
          <w:sz w:val="24"/>
          <w:szCs w:val="24"/>
        </w:rPr>
        <w:t>Since the 2011a model platform, the 2011b model platform includes improvements to the</w:t>
      </w:r>
      <w:r w:rsidR="009D06F0" w:rsidRPr="008405B3">
        <w:rPr>
          <w:rFonts w:ascii="Times New Roman" w:hAnsi="Times New Roman" w:cs="Times New Roman"/>
          <w:sz w:val="24"/>
          <w:szCs w:val="24"/>
        </w:rPr>
        <w:t xml:space="preserve"> emissions, boundary conditions, and model configuration.</w:t>
      </w:r>
      <w:r w:rsidR="003760BA" w:rsidRPr="008405B3">
        <w:rPr>
          <w:rFonts w:ascii="Times New Roman" w:hAnsi="Times New Roman" w:cs="Times New Roman"/>
          <w:sz w:val="24"/>
          <w:szCs w:val="24"/>
        </w:rPr>
        <w:t xml:space="preserve"> </w:t>
      </w:r>
      <w:r w:rsidR="008405B3" w:rsidRPr="008405B3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="008405B3" w:rsidRPr="008405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Modeling Protocol</w:t>
        </w:r>
      </w:hyperlink>
      <w:r w:rsidR="008405B3" w:rsidRPr="008405B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405B3" w:rsidRPr="008405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Model Performance Evaluation</w:t>
        </w:r>
      </w:hyperlink>
      <w:r w:rsidR="008405B3">
        <w:rPr>
          <w:rFonts w:ascii="Times New Roman" w:hAnsi="Times New Roman" w:cs="Times New Roman"/>
          <w:sz w:val="24"/>
          <w:szCs w:val="24"/>
        </w:rPr>
        <w:t xml:space="preserve"> (MPE)</w:t>
      </w:r>
      <w:r w:rsidR="008405B3" w:rsidRPr="008405B3">
        <w:rPr>
          <w:rFonts w:ascii="Times New Roman" w:hAnsi="Times New Roman" w:cs="Times New Roman"/>
          <w:sz w:val="24"/>
          <w:szCs w:val="24"/>
        </w:rPr>
        <w:t>, and the Cooperators’ Comments provide additional details on this model platform.</w:t>
      </w:r>
      <w:r w:rsidR="008405B3">
        <w:rPr>
          <w:rFonts w:ascii="Times New Roman" w:hAnsi="Times New Roman" w:cs="Times New Roman"/>
          <w:sz w:val="24"/>
          <w:szCs w:val="24"/>
        </w:rPr>
        <w:t xml:space="preserve"> These documents are available through the IWDW.</w:t>
      </w:r>
      <w:r w:rsidR="008405B3"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FB22" w14:textId="77777777" w:rsidR="003760BA" w:rsidRPr="008405B3" w:rsidRDefault="003760BA" w:rsidP="00840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40BB0" w14:textId="37ECC947" w:rsidR="00DD52D8" w:rsidRPr="00593F44" w:rsidRDefault="00C636A5" w:rsidP="00EB5AC4">
      <w:pPr>
        <w:pStyle w:val="NormalWeb"/>
        <w:spacing w:before="0" w:beforeAutospacing="0" w:after="0" w:afterAutospacing="0"/>
      </w:pPr>
      <w:r>
        <w:t>T</w:t>
      </w:r>
      <w:r w:rsidR="008B38F0" w:rsidRPr="00593F44">
        <w:t xml:space="preserve">he Cooperators </w:t>
      </w:r>
      <w:r w:rsidR="00BB491F">
        <w:t xml:space="preserve">find </w:t>
      </w:r>
      <w:r w:rsidR="008B38F0" w:rsidRPr="00593F44">
        <w:t>that</w:t>
      </w:r>
      <w:r w:rsidR="003760BA" w:rsidRPr="00593F44">
        <w:t xml:space="preserve"> t</w:t>
      </w:r>
      <w:r w:rsidR="007E22AE" w:rsidRPr="00593F44">
        <w:t xml:space="preserve">he 2011b model platform </w:t>
      </w:r>
      <w:r w:rsidR="00BB491F">
        <w:t>ut</w:t>
      </w:r>
      <w:r w:rsidR="00B6592A">
        <w:t>i</w:t>
      </w:r>
      <w:r w:rsidR="00BB491F">
        <w:t xml:space="preserve">lizes the most complete and representative inputs </w:t>
      </w:r>
      <w:r w:rsidR="00B6592A">
        <w:t xml:space="preserve">as </w:t>
      </w:r>
      <w:r w:rsidR="0027453F">
        <w:t>summarized</w:t>
      </w:r>
      <w:r w:rsidR="00B6592A">
        <w:t xml:space="preserve"> in the table below, </w:t>
      </w:r>
      <w:r w:rsidR="00BB491F">
        <w:t>for regional photochemical mod</w:t>
      </w:r>
      <w:r w:rsidR="00B6592A">
        <w:t>e</w:t>
      </w:r>
      <w:r w:rsidR="00BB491F">
        <w:t xml:space="preserve">ling </w:t>
      </w:r>
      <w:r w:rsidR="00B6592A">
        <w:t xml:space="preserve">studies across </w:t>
      </w:r>
      <w:r w:rsidR="00BB491F">
        <w:t>the Intermoun</w:t>
      </w:r>
      <w:r w:rsidR="00B6592A">
        <w:t>t</w:t>
      </w:r>
      <w:r w:rsidR="00BB491F">
        <w:t>a</w:t>
      </w:r>
      <w:r w:rsidR="00B6592A">
        <w:t>in</w:t>
      </w:r>
      <w:r w:rsidR="00BB491F">
        <w:t xml:space="preserve"> West.  </w:t>
      </w:r>
      <w:r w:rsidRPr="00593F44">
        <w:t>Based on the results of the</w:t>
      </w:r>
      <w:r>
        <w:t xml:space="preserve"> MPE</w:t>
      </w:r>
      <w:r w:rsidRPr="00593F44">
        <w:t xml:space="preserve">, </w:t>
      </w:r>
      <w:r>
        <w:t>t</w:t>
      </w:r>
      <w:r w:rsidR="00BB491F">
        <w:t xml:space="preserve">he 2011b platform </w:t>
      </w:r>
      <w:r w:rsidR="007E22AE" w:rsidRPr="00593F44">
        <w:t xml:space="preserve">is suitable for regional </w:t>
      </w:r>
      <w:r w:rsidR="008B38F0" w:rsidRPr="00593F44">
        <w:t xml:space="preserve">ozone </w:t>
      </w:r>
      <w:r w:rsidR="007E22AE" w:rsidRPr="00593F44">
        <w:t>studies during</w:t>
      </w:r>
      <w:r w:rsidR="008B38F0" w:rsidRPr="00593F44">
        <w:t xml:space="preserve"> the</w:t>
      </w:r>
      <w:r w:rsidR="007E22AE" w:rsidRPr="00593F44">
        <w:t xml:space="preserve"> warm season. </w:t>
      </w:r>
      <w:r w:rsidR="00992D43" w:rsidRPr="00593F44">
        <w:t xml:space="preserve">However, </w:t>
      </w:r>
      <w:r w:rsidR="00BB491F">
        <w:t xml:space="preserve">as noted in the IWDW Data Use Agreement, the </w:t>
      </w:r>
      <w:r w:rsidR="00B22CAF">
        <w:t>model products provided through the IWDW</w:t>
      </w:r>
      <w:r w:rsidR="00BB491F">
        <w:t xml:space="preserve"> should </w:t>
      </w:r>
      <w:r w:rsidR="00B22CAF">
        <w:t xml:space="preserve">be </w:t>
      </w:r>
      <w:r w:rsidR="00BB491F">
        <w:t>carefully review</w:t>
      </w:r>
      <w:r>
        <w:t>ed</w:t>
      </w:r>
      <w:r w:rsidR="00BB491F">
        <w:t xml:space="preserve"> before using them</w:t>
      </w:r>
      <w:r w:rsidR="00B22CAF">
        <w:t xml:space="preserve"> in a study</w:t>
      </w:r>
      <w:r w:rsidR="00BB491F">
        <w:t>. T</w:t>
      </w:r>
      <w:r w:rsidR="00992D43" w:rsidRPr="00593F44">
        <w:t>he results from the</w:t>
      </w:r>
      <w:r w:rsidR="00B22CAF">
        <w:t xml:space="preserve"> </w:t>
      </w:r>
      <w:r w:rsidR="00992D43" w:rsidRPr="00593F44">
        <w:t xml:space="preserve">MPE </w:t>
      </w:r>
      <w:r w:rsidR="00B22CAF">
        <w:t xml:space="preserve">for the 2011b platform </w:t>
      </w:r>
      <w:r w:rsidR="00992D43" w:rsidRPr="00593F44">
        <w:t xml:space="preserve">indicate model performance issues </w:t>
      </w:r>
      <w:r w:rsidR="009D06F0">
        <w:t xml:space="preserve">that users should be informed of </w:t>
      </w:r>
      <w:r w:rsidR="008405B3">
        <w:t>when utilizing the model products and interpreting the model results. Some of the model performance issues</w:t>
      </w:r>
      <w:r w:rsidR="00C025E4">
        <w:t xml:space="preserve"> identified by the Cooperators</w:t>
      </w:r>
      <w:r w:rsidR="008405B3">
        <w:t xml:space="preserve"> include:</w:t>
      </w:r>
    </w:p>
    <w:p w14:paraId="53414297" w14:textId="1F73538F" w:rsidR="00593F44" w:rsidRPr="00593F44" w:rsidRDefault="00593F44" w:rsidP="00EB5AC4">
      <w:pPr>
        <w:pStyle w:val="NoSpacing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F44">
        <w:rPr>
          <w:rFonts w:ascii="Times New Roman" w:hAnsi="Times New Roman" w:cs="Times New Roman"/>
          <w:sz w:val="24"/>
          <w:szCs w:val="24"/>
        </w:rPr>
        <w:t xml:space="preserve">Negative model bias for </w:t>
      </w:r>
      <w:r w:rsidR="008405B3">
        <w:rPr>
          <w:rFonts w:ascii="Times New Roman" w:hAnsi="Times New Roman" w:cs="Times New Roman"/>
          <w:sz w:val="24"/>
          <w:szCs w:val="24"/>
        </w:rPr>
        <w:t>ozone</w:t>
      </w:r>
      <w:r w:rsidRPr="00593F44">
        <w:rPr>
          <w:rFonts w:ascii="Times New Roman" w:hAnsi="Times New Roman" w:cs="Times New Roman"/>
          <w:sz w:val="24"/>
          <w:szCs w:val="24"/>
        </w:rPr>
        <w:t xml:space="preserve"> </w:t>
      </w:r>
      <w:r w:rsidR="00C636A5">
        <w:rPr>
          <w:rFonts w:ascii="Times New Roman" w:hAnsi="Times New Roman" w:cs="Times New Roman"/>
          <w:sz w:val="24"/>
          <w:szCs w:val="24"/>
        </w:rPr>
        <w:t xml:space="preserve">in </w:t>
      </w:r>
      <w:r w:rsidRPr="00593F44">
        <w:rPr>
          <w:rFonts w:ascii="Times New Roman" w:hAnsi="Times New Roman" w:cs="Times New Roman"/>
          <w:sz w:val="24"/>
          <w:szCs w:val="24"/>
        </w:rPr>
        <w:t xml:space="preserve">May </w:t>
      </w:r>
      <w:r w:rsidR="00C636A5">
        <w:rPr>
          <w:rFonts w:ascii="Times New Roman" w:hAnsi="Times New Roman" w:cs="Times New Roman"/>
          <w:sz w:val="24"/>
          <w:szCs w:val="24"/>
        </w:rPr>
        <w:t>and</w:t>
      </w:r>
      <w:r w:rsidRPr="00593F44">
        <w:rPr>
          <w:rFonts w:ascii="Times New Roman" w:hAnsi="Times New Roman" w:cs="Times New Roman"/>
          <w:sz w:val="24"/>
          <w:szCs w:val="24"/>
        </w:rPr>
        <w:t xml:space="preserve"> June. </w:t>
      </w:r>
    </w:p>
    <w:p w14:paraId="09A48B07" w14:textId="77777777" w:rsidR="00593F44" w:rsidRPr="00593F44" w:rsidRDefault="00593F44" w:rsidP="00EB5AC4">
      <w:pPr>
        <w:pStyle w:val="NoSpacing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F44">
        <w:rPr>
          <w:rFonts w:ascii="Times New Roman" w:hAnsi="Times New Roman" w:cs="Times New Roman"/>
          <w:sz w:val="24"/>
          <w:szCs w:val="24"/>
        </w:rPr>
        <w:t xml:space="preserve">Positive model bias for </w:t>
      </w:r>
      <w:r w:rsidR="008405B3">
        <w:rPr>
          <w:rFonts w:ascii="Times New Roman" w:hAnsi="Times New Roman" w:cs="Times New Roman"/>
          <w:sz w:val="24"/>
          <w:szCs w:val="24"/>
        </w:rPr>
        <w:t>ozone</w:t>
      </w:r>
      <w:r w:rsidRPr="00593F44">
        <w:rPr>
          <w:rFonts w:ascii="Times New Roman" w:hAnsi="Times New Roman" w:cs="Times New Roman"/>
          <w:sz w:val="24"/>
          <w:szCs w:val="24"/>
        </w:rPr>
        <w:t xml:space="preserve"> in some areas of western Colorado in summer.</w:t>
      </w:r>
    </w:p>
    <w:p w14:paraId="08763BCD" w14:textId="77777777" w:rsidR="00593F44" w:rsidRDefault="00593F44" w:rsidP="00EB5AC4">
      <w:pPr>
        <w:pStyle w:val="NoSpacing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93F44">
        <w:rPr>
          <w:rFonts w:ascii="Times New Roman" w:hAnsi="Times New Roman" w:cs="Times New Roman"/>
          <w:sz w:val="24"/>
          <w:szCs w:val="24"/>
        </w:rPr>
        <w:t>Negative model bias for V</w:t>
      </w:r>
      <w:r w:rsidR="008405B3">
        <w:rPr>
          <w:rFonts w:ascii="Times New Roman" w:hAnsi="Times New Roman" w:cs="Times New Roman"/>
          <w:sz w:val="24"/>
          <w:szCs w:val="24"/>
        </w:rPr>
        <w:t>olatile Organic Compounds (V</w:t>
      </w:r>
      <w:r w:rsidRPr="00593F44">
        <w:rPr>
          <w:rFonts w:ascii="Times New Roman" w:hAnsi="Times New Roman" w:cs="Times New Roman"/>
          <w:sz w:val="24"/>
          <w:szCs w:val="24"/>
        </w:rPr>
        <w:t>OC</w:t>
      </w:r>
      <w:r w:rsidR="008405B3">
        <w:rPr>
          <w:rFonts w:ascii="Times New Roman" w:hAnsi="Times New Roman" w:cs="Times New Roman"/>
          <w:sz w:val="24"/>
          <w:szCs w:val="24"/>
        </w:rPr>
        <w:t>)</w:t>
      </w:r>
      <w:r w:rsidRPr="00593F44">
        <w:rPr>
          <w:rFonts w:ascii="Times New Roman" w:hAnsi="Times New Roman" w:cs="Times New Roman"/>
          <w:sz w:val="24"/>
          <w:szCs w:val="24"/>
        </w:rPr>
        <w:t xml:space="preserve"> and </w:t>
      </w:r>
      <w:r w:rsidR="008405B3">
        <w:rPr>
          <w:rFonts w:ascii="Times New Roman" w:hAnsi="Times New Roman" w:cs="Times New Roman"/>
          <w:sz w:val="24"/>
          <w:szCs w:val="24"/>
        </w:rPr>
        <w:t>ozone</w:t>
      </w:r>
      <w:r w:rsidRPr="00593F44">
        <w:rPr>
          <w:rFonts w:ascii="Times New Roman" w:hAnsi="Times New Roman" w:cs="Times New Roman"/>
          <w:sz w:val="24"/>
          <w:szCs w:val="24"/>
        </w:rPr>
        <w:t xml:space="preserve"> in winter in areas of intensive oil and gas production in Utah and Wyoming.</w:t>
      </w:r>
    </w:p>
    <w:p w14:paraId="0105E5FC" w14:textId="7993961C" w:rsidR="00B6592A" w:rsidRDefault="00B22CAF" w:rsidP="00B6592A">
      <w:pPr>
        <w:pStyle w:val="NoSpacing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71637">
        <w:rPr>
          <w:rFonts w:ascii="Times New Roman" w:hAnsi="Times New Roman" w:cs="Times New Roman"/>
          <w:sz w:val="24"/>
          <w:szCs w:val="24"/>
        </w:rPr>
        <w:t>The IWDW-WAQS evaluated t</w:t>
      </w:r>
      <w:r w:rsidR="00C636A5" w:rsidRPr="00671637">
        <w:rPr>
          <w:rFonts w:ascii="Times New Roman" w:hAnsi="Times New Roman" w:cs="Times New Roman"/>
          <w:sz w:val="24"/>
          <w:szCs w:val="24"/>
        </w:rPr>
        <w:t>wo</w:t>
      </w:r>
      <w:r w:rsidR="00C636A5" w:rsidRPr="00B6592A">
        <w:rPr>
          <w:rFonts w:ascii="Times New Roman" w:hAnsi="Times New Roman" w:cs="Times New Roman"/>
          <w:sz w:val="24"/>
          <w:szCs w:val="24"/>
        </w:rPr>
        <w:t xml:space="preserve"> different global models (Mozart and GeosChem)</w:t>
      </w:r>
      <w:r>
        <w:rPr>
          <w:rFonts w:ascii="Times New Roman" w:hAnsi="Times New Roman" w:cs="Times New Roman"/>
          <w:sz w:val="24"/>
          <w:szCs w:val="24"/>
        </w:rPr>
        <w:t xml:space="preserve"> for generating</w:t>
      </w:r>
      <w:r w:rsidR="00C636A5" w:rsidRPr="00B6592A">
        <w:rPr>
          <w:rFonts w:ascii="Times New Roman" w:hAnsi="Times New Roman" w:cs="Times New Roman"/>
          <w:sz w:val="24"/>
          <w:szCs w:val="24"/>
        </w:rPr>
        <w:t xml:space="preserve"> boundary conditions at the edges of the 36km North American modeling domain. </w:t>
      </w:r>
      <w:r w:rsidR="00B6592A" w:rsidRPr="00B659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boundary conditions generated from each </w:t>
      </w:r>
      <w:r w:rsidR="00B6592A" w:rsidRPr="00B6592A">
        <w:rPr>
          <w:rFonts w:ascii="Times New Roman" w:hAnsi="Times New Roman" w:cs="Times New Roman"/>
          <w:sz w:val="24"/>
          <w:szCs w:val="24"/>
        </w:rPr>
        <w:t>global model</w:t>
      </w:r>
      <w:r>
        <w:rPr>
          <w:rFonts w:ascii="Times New Roman" w:hAnsi="Times New Roman" w:cs="Times New Roman"/>
          <w:sz w:val="24"/>
          <w:szCs w:val="24"/>
        </w:rPr>
        <w:t xml:space="preserve"> were found to</w:t>
      </w:r>
      <w:r w:rsidR="00B6592A" w:rsidRPr="00B6592A">
        <w:rPr>
          <w:rFonts w:ascii="Times New Roman" w:hAnsi="Times New Roman" w:cs="Times New Roman"/>
          <w:sz w:val="24"/>
          <w:szCs w:val="24"/>
        </w:rPr>
        <w:t xml:space="preserve"> produce different MPE results for P</w:t>
      </w:r>
      <w:r>
        <w:rPr>
          <w:rFonts w:ascii="Times New Roman" w:hAnsi="Times New Roman" w:cs="Times New Roman"/>
          <w:sz w:val="24"/>
          <w:szCs w:val="24"/>
        </w:rPr>
        <w:t xml:space="preserve">articulate </w:t>
      </w:r>
      <w:r w:rsidR="00B6592A" w:rsidRPr="00B6592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atter</w:t>
      </w:r>
      <w:r w:rsidR="00B6592A" w:rsidRPr="00B6592A">
        <w:rPr>
          <w:rFonts w:ascii="Times New Roman" w:hAnsi="Times New Roman" w:cs="Times New Roman"/>
          <w:sz w:val="24"/>
          <w:szCs w:val="24"/>
        </w:rPr>
        <w:t xml:space="preserve"> and ozone in the IWDW-WAQS study region.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92A">
        <w:rPr>
          <w:rFonts w:ascii="Times New Roman" w:hAnsi="Times New Roman" w:cs="Times New Roman"/>
          <w:sz w:val="24"/>
          <w:szCs w:val="24"/>
        </w:rPr>
        <w:t>The results</w:t>
      </w:r>
      <w:r>
        <w:rPr>
          <w:rFonts w:ascii="Times New Roman" w:hAnsi="Times New Roman" w:cs="Times New Roman"/>
          <w:sz w:val="24"/>
          <w:szCs w:val="24"/>
        </w:rPr>
        <w:t xml:space="preserve"> can be</w:t>
      </w:r>
      <w:r w:rsidRPr="00B6592A">
        <w:rPr>
          <w:rFonts w:ascii="Times New Roman" w:hAnsi="Times New Roman" w:cs="Times New Roman"/>
          <w:sz w:val="24"/>
          <w:szCs w:val="24"/>
        </w:rPr>
        <w:t xml:space="preserve"> found at: </w:t>
      </w:r>
      <w:hyperlink r:id="rId9" w:history="1">
        <w:r w:rsidR="003042E4" w:rsidRPr="006D1E41">
          <w:rPr>
            <w:rStyle w:val="Hyperlink"/>
            <w:rFonts w:ascii="Times New Roman" w:hAnsi="Times New Roman" w:cs="Times New Roman"/>
            <w:sz w:val="24"/>
            <w:szCs w:val="24"/>
          </w:rPr>
          <w:t>http://vibe.cira.colostate.edu/wiki/wiki/1043/bc-sensitivity-modeling-results</w:t>
        </w:r>
      </w:hyperlink>
      <w:r w:rsidRPr="00B6592A">
        <w:rPr>
          <w:rFonts w:ascii="Times New Roman" w:hAnsi="Times New Roman" w:cs="Times New Roman"/>
          <w:sz w:val="24"/>
          <w:szCs w:val="24"/>
        </w:rPr>
        <w:t>.</w:t>
      </w:r>
    </w:p>
    <w:p w14:paraId="5A5497E9" w14:textId="76348F0F" w:rsidR="003042E4" w:rsidRPr="00B6592A" w:rsidRDefault="00192D40" w:rsidP="00B6592A">
      <w:pPr>
        <w:pStyle w:val="NoSpacing"/>
        <w:numPr>
          <w:ilvl w:val="1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42E4">
        <w:rPr>
          <w:rFonts w:ascii="Times New Roman" w:hAnsi="Times New Roman" w:cs="Times New Roman"/>
          <w:sz w:val="24"/>
          <w:szCs w:val="24"/>
        </w:rPr>
        <w:t xml:space="preserve">he </w:t>
      </w:r>
      <w:r w:rsidR="00671637">
        <w:rPr>
          <w:rFonts w:ascii="Times New Roman" w:hAnsi="Times New Roman" w:cs="Times New Roman"/>
          <w:sz w:val="24"/>
          <w:szCs w:val="24"/>
        </w:rPr>
        <w:t xml:space="preserve">same </w:t>
      </w:r>
      <w:r w:rsidR="003042E4">
        <w:rPr>
          <w:rFonts w:ascii="Times New Roman" w:hAnsi="Times New Roman" w:cs="Times New Roman"/>
          <w:sz w:val="24"/>
          <w:szCs w:val="24"/>
        </w:rPr>
        <w:t>model versions should be used in order to obtain similar model performance</w:t>
      </w:r>
      <w:r w:rsidR="00671637">
        <w:rPr>
          <w:rFonts w:ascii="Times New Roman" w:hAnsi="Times New Roman" w:cs="Times New Roman"/>
          <w:sz w:val="24"/>
          <w:szCs w:val="24"/>
        </w:rPr>
        <w:t xml:space="preserve"> results</w:t>
      </w:r>
      <w:r w:rsidR="003042E4">
        <w:rPr>
          <w:rFonts w:ascii="Times New Roman" w:hAnsi="Times New Roman" w:cs="Times New Roman"/>
          <w:sz w:val="24"/>
          <w:szCs w:val="24"/>
        </w:rPr>
        <w:t>. It has been found that more recent versions of WRFCAMx and CAMx produce significant differences in the model performance.</w:t>
      </w:r>
    </w:p>
    <w:p w14:paraId="1FB0048F" w14:textId="77777777" w:rsidR="00B6592A" w:rsidRDefault="00B6592A" w:rsidP="00D57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BA469" w14:textId="77777777" w:rsidR="007D6D83" w:rsidRDefault="00DD52D8" w:rsidP="00D57F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2D8">
        <w:rPr>
          <w:rFonts w:ascii="Times New Roman" w:hAnsi="Times New Roman" w:cs="Times New Roman"/>
          <w:sz w:val="24"/>
          <w:szCs w:val="24"/>
        </w:rPr>
        <w:lastRenderedPageBreak/>
        <w:t>As a result, the Cooperators reco</w:t>
      </w:r>
      <w:r w:rsidR="007D6D83">
        <w:rPr>
          <w:rFonts w:ascii="Times New Roman" w:hAnsi="Times New Roman" w:cs="Times New Roman"/>
          <w:sz w:val="24"/>
          <w:szCs w:val="24"/>
        </w:rPr>
        <w:t>mmend that users understand thes</w:t>
      </w:r>
      <w:r w:rsidRPr="00DD52D8">
        <w:rPr>
          <w:rFonts w:ascii="Times New Roman" w:hAnsi="Times New Roman" w:cs="Times New Roman"/>
          <w:sz w:val="24"/>
          <w:szCs w:val="24"/>
        </w:rPr>
        <w:t xml:space="preserve">e limitations and consider </w:t>
      </w:r>
      <w:r w:rsidR="003736DA">
        <w:rPr>
          <w:rFonts w:ascii="Times New Roman" w:hAnsi="Times New Roman" w:cs="Times New Roman"/>
          <w:sz w:val="24"/>
          <w:szCs w:val="24"/>
        </w:rPr>
        <w:t>the implications</w:t>
      </w:r>
      <w:r w:rsidR="007D6D83">
        <w:rPr>
          <w:rFonts w:ascii="Times New Roman" w:hAnsi="Times New Roman" w:cs="Times New Roman"/>
          <w:sz w:val="24"/>
          <w:szCs w:val="24"/>
        </w:rPr>
        <w:t xml:space="preserve"> these uncertainties might affect applications of the </w:t>
      </w:r>
      <w:r w:rsidR="00C636A5">
        <w:rPr>
          <w:rFonts w:ascii="Times New Roman" w:hAnsi="Times New Roman" w:cs="Times New Roman"/>
          <w:sz w:val="24"/>
          <w:szCs w:val="24"/>
        </w:rPr>
        <w:t xml:space="preserve">2011b </w:t>
      </w:r>
      <w:r w:rsidR="007D6D83">
        <w:rPr>
          <w:rFonts w:ascii="Times New Roman" w:hAnsi="Times New Roman" w:cs="Times New Roman"/>
          <w:sz w:val="24"/>
          <w:szCs w:val="24"/>
        </w:rPr>
        <w:t>model platform</w:t>
      </w:r>
      <w:r w:rsidR="00C636A5">
        <w:rPr>
          <w:rFonts w:ascii="Times New Roman" w:hAnsi="Times New Roman" w:cs="Times New Roman"/>
          <w:sz w:val="24"/>
          <w:szCs w:val="24"/>
        </w:rPr>
        <w:t xml:space="preserve"> as a whole and</w:t>
      </w:r>
      <w:r w:rsidR="00B6592A">
        <w:rPr>
          <w:rFonts w:ascii="Times New Roman" w:hAnsi="Times New Roman" w:cs="Times New Roman"/>
          <w:sz w:val="24"/>
          <w:szCs w:val="24"/>
        </w:rPr>
        <w:t xml:space="preserve"> any of</w:t>
      </w:r>
      <w:r w:rsidR="00C636A5">
        <w:rPr>
          <w:rFonts w:ascii="Times New Roman" w:hAnsi="Times New Roman" w:cs="Times New Roman"/>
          <w:sz w:val="24"/>
          <w:szCs w:val="24"/>
        </w:rPr>
        <w:t xml:space="preserve"> the platform’s individual input files</w:t>
      </w:r>
      <w:r w:rsidR="007D6D83">
        <w:rPr>
          <w:rFonts w:ascii="Times New Roman" w:hAnsi="Times New Roman" w:cs="Times New Roman"/>
          <w:sz w:val="24"/>
          <w:szCs w:val="24"/>
        </w:rPr>
        <w:t>.</w:t>
      </w:r>
    </w:p>
    <w:p w14:paraId="59CF2E67" w14:textId="77777777" w:rsidR="007D6D83" w:rsidRDefault="007D6D83" w:rsidP="00D57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41296" w14:textId="78774622" w:rsidR="00D57F0E" w:rsidRPr="00593F44" w:rsidRDefault="00D57F0E" w:rsidP="00D57F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Cooperators also note that </w:t>
      </w:r>
      <w:r w:rsidRPr="00593F44">
        <w:rPr>
          <w:rFonts w:ascii="Times New Roman" w:hAnsi="Times New Roman" w:cs="Times New Roman"/>
          <w:sz w:val="24"/>
          <w:szCs w:val="24"/>
        </w:rPr>
        <w:t xml:space="preserve">the MPE Report </w:t>
      </w:r>
      <w:r w:rsidR="00671637">
        <w:rPr>
          <w:rFonts w:ascii="Times New Roman" w:hAnsi="Times New Roman" w:cs="Times New Roman"/>
          <w:sz w:val="24"/>
          <w:szCs w:val="24"/>
        </w:rPr>
        <w:t xml:space="preserve">for the 2011b platform </w:t>
      </w:r>
      <w:r w:rsidRPr="00593F44">
        <w:rPr>
          <w:rFonts w:ascii="Times New Roman" w:hAnsi="Times New Roman" w:cs="Times New Roman"/>
          <w:sz w:val="24"/>
          <w:szCs w:val="24"/>
        </w:rPr>
        <w:t>focus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93F44">
        <w:rPr>
          <w:rFonts w:ascii="Times New Roman" w:hAnsi="Times New Roman" w:cs="Times New Roman"/>
          <w:sz w:val="24"/>
          <w:szCs w:val="24"/>
        </w:rPr>
        <w:t xml:space="preserve"> on analyses and conclusions that are based on statistical metrics that are averaged across multiple sites and multiple days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3F44">
        <w:rPr>
          <w:rFonts w:ascii="Times New Roman" w:hAnsi="Times New Roman" w:cs="Times New Roman"/>
          <w:sz w:val="24"/>
          <w:szCs w:val="24"/>
        </w:rPr>
        <w:t>Evaluations of performance over long time periods and large areas may fail to distinguish specific episodes for which the model either performs especially well or especially poorly</w:t>
      </w:r>
      <w:r>
        <w:rPr>
          <w:rFonts w:ascii="Times New Roman" w:hAnsi="Times New Roman" w:cs="Times New Roman"/>
          <w:sz w:val="24"/>
          <w:szCs w:val="24"/>
        </w:rPr>
        <w:t xml:space="preserve">. These types of </w:t>
      </w:r>
      <w:r w:rsidR="007D6D83">
        <w:rPr>
          <w:rFonts w:ascii="Times New Roman" w:hAnsi="Times New Roman" w:cs="Times New Roman"/>
          <w:sz w:val="24"/>
          <w:szCs w:val="24"/>
        </w:rPr>
        <w:t xml:space="preserve">metrics </w:t>
      </w:r>
      <w:r>
        <w:rPr>
          <w:rFonts w:ascii="Times New Roman" w:hAnsi="Times New Roman" w:cs="Times New Roman"/>
          <w:sz w:val="24"/>
          <w:szCs w:val="24"/>
        </w:rPr>
        <w:t xml:space="preserve">may also cancel out </w:t>
      </w:r>
      <w:r w:rsidRPr="00593F44">
        <w:rPr>
          <w:rFonts w:ascii="Times New Roman" w:hAnsi="Times New Roman" w:cs="Times New Roman"/>
          <w:sz w:val="24"/>
          <w:szCs w:val="24"/>
        </w:rPr>
        <w:t xml:space="preserve">biases and the results may not reflect the model performance on days that may be most relevant to the </w:t>
      </w:r>
      <w:r>
        <w:rPr>
          <w:rFonts w:ascii="Times New Roman" w:hAnsi="Times New Roman" w:cs="Times New Roman"/>
          <w:sz w:val="24"/>
          <w:szCs w:val="24"/>
        </w:rPr>
        <w:t xml:space="preserve">purpose of the air quality study (e.g., </w:t>
      </w:r>
      <w:r w:rsidRPr="00593F44">
        <w:rPr>
          <w:rFonts w:ascii="Times New Roman" w:hAnsi="Times New Roman" w:cs="Times New Roman"/>
          <w:sz w:val="24"/>
          <w:szCs w:val="24"/>
        </w:rPr>
        <w:t>NAAQS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D83">
        <w:rPr>
          <w:rFonts w:ascii="Times New Roman" w:hAnsi="Times New Roman" w:cs="Times New Roman"/>
          <w:sz w:val="24"/>
          <w:szCs w:val="24"/>
        </w:rPr>
        <w:t>ozone attainment d</w:t>
      </w:r>
      <w:r>
        <w:rPr>
          <w:rFonts w:ascii="Times New Roman" w:hAnsi="Times New Roman" w:cs="Times New Roman"/>
          <w:sz w:val="24"/>
          <w:szCs w:val="24"/>
        </w:rPr>
        <w:t>emonstrations)</w:t>
      </w:r>
      <w:r w:rsidRPr="00593F44">
        <w:rPr>
          <w:rFonts w:ascii="Times New Roman" w:hAnsi="Times New Roman" w:cs="Times New Roman"/>
          <w:sz w:val="24"/>
          <w:szCs w:val="24"/>
        </w:rPr>
        <w:t xml:space="preserve">. </w:t>
      </w:r>
      <w:r w:rsidR="007D6D83">
        <w:rPr>
          <w:rFonts w:ascii="Times New Roman" w:hAnsi="Times New Roman" w:cs="Times New Roman"/>
          <w:sz w:val="24"/>
          <w:szCs w:val="24"/>
        </w:rPr>
        <w:t>Therefore, the Cooperators recommend that, in some cases, users of the model</w:t>
      </w:r>
      <w:r w:rsidR="003736DA">
        <w:rPr>
          <w:rFonts w:ascii="Times New Roman" w:hAnsi="Times New Roman" w:cs="Times New Roman"/>
          <w:sz w:val="24"/>
          <w:szCs w:val="24"/>
        </w:rPr>
        <w:t xml:space="preserve"> </w:t>
      </w:r>
      <w:r w:rsidR="007D6D83">
        <w:rPr>
          <w:rFonts w:ascii="Times New Roman" w:hAnsi="Times New Roman" w:cs="Times New Roman"/>
          <w:sz w:val="24"/>
          <w:szCs w:val="24"/>
        </w:rPr>
        <w:t>platform should evaluate how well the model performs for specific monitor sites and episodes that are most relevant to their study topic.</w:t>
      </w:r>
    </w:p>
    <w:p w14:paraId="74B9F748" w14:textId="77777777" w:rsidR="00D57F0E" w:rsidRPr="00593F44" w:rsidRDefault="00D57F0E" w:rsidP="003760BA">
      <w:pPr>
        <w:pStyle w:val="NormalWeb"/>
        <w:spacing w:before="0" w:beforeAutospacing="0" w:after="0" w:afterAutospacing="0"/>
      </w:pPr>
    </w:p>
    <w:p w14:paraId="1D50697D" w14:textId="596138B8" w:rsidR="007E22AE" w:rsidRDefault="007E22AE" w:rsidP="00C025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F44">
        <w:rPr>
          <w:rFonts w:ascii="Times New Roman" w:hAnsi="Times New Roman" w:cs="Times New Roman"/>
          <w:sz w:val="24"/>
          <w:szCs w:val="24"/>
        </w:rPr>
        <w:t>All 2011</w:t>
      </w:r>
      <w:r w:rsidR="00C025E4">
        <w:rPr>
          <w:rFonts w:ascii="Times New Roman" w:hAnsi="Times New Roman" w:cs="Times New Roman"/>
          <w:sz w:val="24"/>
          <w:szCs w:val="24"/>
        </w:rPr>
        <w:t>b</w:t>
      </w:r>
      <w:r w:rsidRPr="00593F44">
        <w:rPr>
          <w:rFonts w:ascii="Times New Roman" w:hAnsi="Times New Roman" w:cs="Times New Roman"/>
          <w:sz w:val="24"/>
          <w:szCs w:val="24"/>
        </w:rPr>
        <w:t xml:space="preserve"> modeling data and results are available through the </w:t>
      </w:r>
      <w:r w:rsidR="00C025E4">
        <w:rPr>
          <w:rFonts w:ascii="Times New Roman" w:hAnsi="Times New Roman" w:cs="Times New Roman"/>
          <w:sz w:val="24"/>
          <w:szCs w:val="24"/>
        </w:rPr>
        <w:t>IWDW by completing and submitting a Data Request Form</w:t>
      </w:r>
      <w:r w:rsidR="00C636A5">
        <w:rPr>
          <w:rFonts w:ascii="Times New Roman" w:hAnsi="Times New Roman" w:cs="Times New Roman"/>
          <w:sz w:val="24"/>
          <w:szCs w:val="24"/>
        </w:rPr>
        <w:t xml:space="preserve"> and accepting the terms of the Data Use Agreement</w:t>
      </w:r>
      <w:r w:rsidR="003042E4">
        <w:rPr>
          <w:rFonts w:ascii="Times New Roman" w:hAnsi="Times New Roman" w:cs="Times New Roman"/>
          <w:sz w:val="24"/>
          <w:szCs w:val="24"/>
        </w:rPr>
        <w:t xml:space="preserve"> (</w:t>
      </w:r>
      <w:r w:rsidR="003042E4" w:rsidRPr="003042E4">
        <w:rPr>
          <w:rFonts w:ascii="Times New Roman" w:hAnsi="Times New Roman" w:cs="Times New Roman"/>
          <w:sz w:val="24"/>
          <w:szCs w:val="24"/>
        </w:rPr>
        <w:t>http://views.cira.colostate.edu/TSDW/</w:t>
      </w:r>
      <w:r w:rsidR="003042E4">
        <w:rPr>
          <w:rFonts w:ascii="Times New Roman" w:hAnsi="Times New Roman" w:cs="Times New Roman"/>
          <w:sz w:val="24"/>
          <w:szCs w:val="24"/>
        </w:rPr>
        <w:t>)</w:t>
      </w:r>
      <w:r w:rsidR="00C025E4">
        <w:rPr>
          <w:rFonts w:ascii="Times New Roman" w:hAnsi="Times New Roman" w:cs="Times New Roman"/>
          <w:sz w:val="24"/>
          <w:szCs w:val="24"/>
        </w:rPr>
        <w:t xml:space="preserve">. </w:t>
      </w:r>
      <w:r w:rsidRPr="00593F44">
        <w:rPr>
          <w:rFonts w:ascii="Times New Roman" w:hAnsi="Times New Roman" w:cs="Times New Roman"/>
          <w:sz w:val="24"/>
          <w:szCs w:val="24"/>
        </w:rPr>
        <w:t xml:space="preserve">The 2011b platform consists of data and software for simulating year 2011 air quality over a modeling domain </w:t>
      </w:r>
      <w:r w:rsidR="00C636A5">
        <w:rPr>
          <w:rFonts w:ascii="Times New Roman" w:hAnsi="Times New Roman" w:cs="Times New Roman"/>
          <w:sz w:val="24"/>
          <w:szCs w:val="24"/>
        </w:rPr>
        <w:t>with a 4</w:t>
      </w:r>
      <w:r w:rsidR="003042E4">
        <w:rPr>
          <w:rFonts w:ascii="Times New Roman" w:hAnsi="Times New Roman" w:cs="Times New Roman"/>
          <w:sz w:val="24"/>
          <w:szCs w:val="24"/>
        </w:rPr>
        <w:t xml:space="preserve"> </w:t>
      </w:r>
      <w:r w:rsidR="00C636A5">
        <w:rPr>
          <w:rFonts w:ascii="Times New Roman" w:hAnsi="Times New Roman" w:cs="Times New Roman"/>
          <w:sz w:val="24"/>
          <w:szCs w:val="24"/>
        </w:rPr>
        <w:t xml:space="preserve">km horizontal grid cell resolution </w:t>
      </w:r>
      <w:r w:rsidRPr="00593F44">
        <w:rPr>
          <w:rFonts w:ascii="Times New Roman" w:hAnsi="Times New Roman" w:cs="Times New Roman"/>
          <w:sz w:val="24"/>
          <w:szCs w:val="24"/>
        </w:rPr>
        <w:t>focused on the states of Colorado, Utah, Wyoming</w:t>
      </w:r>
      <w:r w:rsidR="00C025E4">
        <w:rPr>
          <w:rFonts w:ascii="Times New Roman" w:hAnsi="Times New Roman" w:cs="Times New Roman"/>
          <w:sz w:val="24"/>
          <w:szCs w:val="24"/>
        </w:rPr>
        <w:t>, and northern New Mexico</w:t>
      </w:r>
      <w:r w:rsidRPr="00593F44">
        <w:rPr>
          <w:rFonts w:ascii="Times New Roman" w:hAnsi="Times New Roman" w:cs="Times New Roman"/>
          <w:sz w:val="24"/>
          <w:szCs w:val="24"/>
        </w:rPr>
        <w:t xml:space="preserve">. </w:t>
      </w:r>
      <w:r w:rsidR="00C636A5">
        <w:rPr>
          <w:rFonts w:ascii="Times New Roman" w:hAnsi="Times New Roman" w:cs="Times New Roman"/>
          <w:sz w:val="24"/>
          <w:szCs w:val="24"/>
        </w:rPr>
        <w:t>The 4</w:t>
      </w:r>
      <w:r w:rsidR="003042E4">
        <w:rPr>
          <w:rFonts w:ascii="Times New Roman" w:hAnsi="Times New Roman" w:cs="Times New Roman"/>
          <w:sz w:val="24"/>
          <w:szCs w:val="24"/>
        </w:rPr>
        <w:t xml:space="preserve"> </w:t>
      </w:r>
      <w:r w:rsidR="00C636A5">
        <w:rPr>
          <w:rFonts w:ascii="Times New Roman" w:hAnsi="Times New Roman" w:cs="Times New Roman"/>
          <w:sz w:val="24"/>
          <w:szCs w:val="24"/>
        </w:rPr>
        <w:t>km domain is nested in a 12</w:t>
      </w:r>
      <w:r w:rsidR="003042E4">
        <w:rPr>
          <w:rFonts w:ascii="Times New Roman" w:hAnsi="Times New Roman" w:cs="Times New Roman"/>
          <w:sz w:val="24"/>
          <w:szCs w:val="24"/>
        </w:rPr>
        <w:t xml:space="preserve"> </w:t>
      </w:r>
      <w:r w:rsidR="00C636A5">
        <w:rPr>
          <w:rFonts w:ascii="Times New Roman" w:hAnsi="Times New Roman" w:cs="Times New Roman"/>
          <w:sz w:val="24"/>
          <w:szCs w:val="24"/>
        </w:rPr>
        <w:t>km grid cell domain covering the western half of the U</w:t>
      </w:r>
      <w:r w:rsidR="003042E4">
        <w:rPr>
          <w:rFonts w:ascii="Times New Roman" w:hAnsi="Times New Roman" w:cs="Times New Roman"/>
          <w:sz w:val="24"/>
          <w:szCs w:val="24"/>
        </w:rPr>
        <w:t>nited States</w:t>
      </w:r>
      <w:r w:rsidR="00C636A5">
        <w:rPr>
          <w:rFonts w:ascii="Times New Roman" w:hAnsi="Times New Roman" w:cs="Times New Roman"/>
          <w:sz w:val="24"/>
          <w:szCs w:val="24"/>
        </w:rPr>
        <w:t>, and it in turn is nested in a 36</w:t>
      </w:r>
      <w:r w:rsidR="003042E4">
        <w:rPr>
          <w:rFonts w:ascii="Times New Roman" w:hAnsi="Times New Roman" w:cs="Times New Roman"/>
          <w:sz w:val="24"/>
          <w:szCs w:val="24"/>
        </w:rPr>
        <w:t xml:space="preserve"> </w:t>
      </w:r>
      <w:r w:rsidR="00C636A5">
        <w:rPr>
          <w:rFonts w:ascii="Times New Roman" w:hAnsi="Times New Roman" w:cs="Times New Roman"/>
          <w:sz w:val="24"/>
          <w:szCs w:val="24"/>
        </w:rPr>
        <w:t>km grid cell North American do</w:t>
      </w:r>
      <w:r w:rsidR="00B6592A">
        <w:rPr>
          <w:rFonts w:ascii="Times New Roman" w:hAnsi="Times New Roman" w:cs="Times New Roman"/>
          <w:sz w:val="24"/>
          <w:szCs w:val="24"/>
        </w:rPr>
        <w:t>m</w:t>
      </w:r>
      <w:r w:rsidR="00C636A5">
        <w:rPr>
          <w:rFonts w:ascii="Times New Roman" w:hAnsi="Times New Roman" w:cs="Times New Roman"/>
          <w:sz w:val="24"/>
          <w:szCs w:val="24"/>
        </w:rPr>
        <w:t>ain</w:t>
      </w:r>
      <w:r w:rsidR="00B6592A">
        <w:rPr>
          <w:rFonts w:ascii="Times New Roman" w:hAnsi="Times New Roman" w:cs="Times New Roman"/>
          <w:sz w:val="24"/>
          <w:szCs w:val="24"/>
        </w:rPr>
        <w:t>.</w:t>
      </w:r>
    </w:p>
    <w:p w14:paraId="30EB9C47" w14:textId="77777777" w:rsidR="00F64FB7" w:rsidRDefault="00F64FB7" w:rsidP="00C025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260"/>
        <w:gridCol w:w="5130"/>
      </w:tblGrid>
      <w:tr w:rsidR="00F64FB7" w:rsidRPr="003D1748" w14:paraId="7C15D7AD" w14:textId="77777777" w:rsidTr="003D1748">
        <w:tc>
          <w:tcPr>
            <w:tcW w:w="1795" w:type="dxa"/>
            <w:shd w:val="clear" w:color="auto" w:fill="BFBFBF" w:themeFill="background1" w:themeFillShade="BF"/>
          </w:tcPr>
          <w:p w14:paraId="59D72EA7" w14:textId="77777777" w:rsidR="00F64FB7" w:rsidRPr="003D1748" w:rsidRDefault="00F64FB7" w:rsidP="00C025E4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3D1748">
              <w:rPr>
                <w:rFonts w:cs="Times New Roman"/>
                <w:b/>
                <w:sz w:val="18"/>
                <w:szCs w:val="18"/>
              </w:rPr>
              <w:t>Type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F2594DC" w14:textId="77777777" w:rsidR="00F64FB7" w:rsidRPr="003D1748" w:rsidRDefault="00F64FB7" w:rsidP="00C025E4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3D1748">
              <w:rPr>
                <w:rFonts w:cs="Times New Roman"/>
                <w:b/>
                <w:sz w:val="18"/>
                <w:szCs w:val="18"/>
              </w:rPr>
              <w:t>Option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FCC8DBE" w14:textId="77777777" w:rsidR="00F64FB7" w:rsidRPr="003D1748" w:rsidRDefault="00F64FB7" w:rsidP="00C025E4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3D1748">
              <w:rPr>
                <w:rFonts w:cs="Times New Roman"/>
                <w:b/>
                <w:sz w:val="18"/>
                <w:szCs w:val="18"/>
              </w:rPr>
              <w:t>Source</w:t>
            </w:r>
          </w:p>
        </w:tc>
        <w:tc>
          <w:tcPr>
            <w:tcW w:w="5130" w:type="dxa"/>
            <w:shd w:val="clear" w:color="auto" w:fill="BFBFBF" w:themeFill="background1" w:themeFillShade="BF"/>
          </w:tcPr>
          <w:p w14:paraId="75669959" w14:textId="77777777" w:rsidR="00F64FB7" w:rsidRPr="003D1748" w:rsidRDefault="00F64FB7" w:rsidP="00C025E4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3D1748">
              <w:rPr>
                <w:rFonts w:cs="Times New Roman"/>
                <w:b/>
                <w:sz w:val="18"/>
                <w:szCs w:val="18"/>
              </w:rPr>
              <w:t>Description</w:t>
            </w:r>
          </w:p>
        </w:tc>
      </w:tr>
      <w:tr w:rsidR="00E940D0" w:rsidRPr="003D1748" w14:paraId="43B6C576" w14:textId="77777777" w:rsidTr="003D1748">
        <w:tc>
          <w:tcPr>
            <w:tcW w:w="1795" w:type="dxa"/>
            <w:vMerge w:val="restart"/>
          </w:tcPr>
          <w:p w14:paraId="6CFFFADC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Model Software</w:t>
            </w:r>
          </w:p>
        </w:tc>
        <w:tc>
          <w:tcPr>
            <w:tcW w:w="1890" w:type="dxa"/>
          </w:tcPr>
          <w:p w14:paraId="3347C33B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CAMx v6.10</w:t>
            </w:r>
          </w:p>
        </w:tc>
        <w:tc>
          <w:tcPr>
            <w:tcW w:w="1260" w:type="dxa"/>
          </w:tcPr>
          <w:p w14:paraId="63198B45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ENVIRON</w:t>
            </w:r>
          </w:p>
        </w:tc>
        <w:tc>
          <w:tcPr>
            <w:tcW w:w="5130" w:type="dxa"/>
          </w:tcPr>
          <w:p w14:paraId="6600B1ED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Chemistry-transport model configured with CB6r2 photochemistry</w:t>
            </w:r>
          </w:p>
        </w:tc>
      </w:tr>
      <w:tr w:rsidR="00E940D0" w:rsidRPr="003D1748" w14:paraId="6F88FA12" w14:textId="77777777" w:rsidTr="003D1748">
        <w:tc>
          <w:tcPr>
            <w:tcW w:w="1795" w:type="dxa"/>
            <w:vMerge/>
          </w:tcPr>
          <w:p w14:paraId="55C21D14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2E2609C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CMAQ</w:t>
            </w:r>
          </w:p>
        </w:tc>
        <w:tc>
          <w:tcPr>
            <w:tcW w:w="1260" w:type="dxa"/>
          </w:tcPr>
          <w:p w14:paraId="11A0FA12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US EPA</w:t>
            </w:r>
          </w:p>
        </w:tc>
        <w:tc>
          <w:tcPr>
            <w:tcW w:w="5130" w:type="dxa"/>
          </w:tcPr>
          <w:p w14:paraId="67A63D42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Chemistry-transport model configured with CB05 photochemistry</w:t>
            </w:r>
          </w:p>
        </w:tc>
      </w:tr>
      <w:tr w:rsidR="00E940D0" w:rsidRPr="003D1748" w14:paraId="3BE7E56A" w14:textId="77777777" w:rsidTr="003D1748">
        <w:tc>
          <w:tcPr>
            <w:tcW w:w="1795" w:type="dxa"/>
            <w:vMerge/>
          </w:tcPr>
          <w:p w14:paraId="74EE705C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5961F2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WRF v3.5.1</w:t>
            </w:r>
          </w:p>
        </w:tc>
        <w:tc>
          <w:tcPr>
            <w:tcW w:w="1260" w:type="dxa"/>
          </w:tcPr>
          <w:p w14:paraId="520F69BD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NOAA</w:t>
            </w:r>
          </w:p>
        </w:tc>
        <w:tc>
          <w:tcPr>
            <w:tcW w:w="5130" w:type="dxa"/>
          </w:tcPr>
          <w:p w14:paraId="345855FF" w14:textId="77777777" w:rsidR="00E940D0" w:rsidRPr="003D1748" w:rsidRDefault="00E940D0" w:rsidP="00F64FB7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Regional climate model configured for simulating meteorology over the Inter-mountain West</w:t>
            </w:r>
          </w:p>
        </w:tc>
      </w:tr>
      <w:tr w:rsidR="00E940D0" w:rsidRPr="003D1748" w14:paraId="3B080703" w14:textId="77777777" w:rsidTr="003D1748">
        <w:tc>
          <w:tcPr>
            <w:tcW w:w="1795" w:type="dxa"/>
            <w:vMerge/>
          </w:tcPr>
          <w:p w14:paraId="4A58DBD0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F59F44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SMOKE v3.5.1</w:t>
            </w:r>
          </w:p>
        </w:tc>
        <w:tc>
          <w:tcPr>
            <w:tcW w:w="1260" w:type="dxa"/>
          </w:tcPr>
          <w:p w14:paraId="62EBD256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UNC-IE</w:t>
            </w:r>
          </w:p>
        </w:tc>
        <w:tc>
          <w:tcPr>
            <w:tcW w:w="5130" w:type="dxa"/>
          </w:tcPr>
          <w:p w14:paraId="0BF116E5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Emissions processor for preparing emissions inventory and ancillary data for input to chemistry-transport models</w:t>
            </w:r>
          </w:p>
        </w:tc>
      </w:tr>
      <w:tr w:rsidR="00E940D0" w:rsidRPr="003D1748" w14:paraId="082129E4" w14:textId="77777777" w:rsidTr="003D1748">
        <w:tc>
          <w:tcPr>
            <w:tcW w:w="1795" w:type="dxa"/>
            <w:vMerge w:val="restart"/>
          </w:tcPr>
          <w:p w14:paraId="3E01E44B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Emissions Data</w:t>
            </w:r>
          </w:p>
        </w:tc>
        <w:tc>
          <w:tcPr>
            <w:tcW w:w="1890" w:type="dxa"/>
          </w:tcPr>
          <w:p w14:paraId="699FE1CB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Emissions v2011b</w:t>
            </w:r>
          </w:p>
        </w:tc>
        <w:tc>
          <w:tcPr>
            <w:tcW w:w="1260" w:type="dxa"/>
          </w:tcPr>
          <w:p w14:paraId="35A60CB4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3E4214B5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2011 emissions data prepared for CAMx and CMAQ with SMOKE</w:t>
            </w:r>
          </w:p>
        </w:tc>
      </w:tr>
      <w:tr w:rsidR="00E940D0" w:rsidRPr="003D1748" w14:paraId="3E2BB243" w14:textId="77777777" w:rsidTr="003D1748">
        <w:tc>
          <w:tcPr>
            <w:tcW w:w="1795" w:type="dxa"/>
            <w:vMerge/>
          </w:tcPr>
          <w:p w14:paraId="7B50C3E6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47857F9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Emissions v2025_11b</w:t>
            </w:r>
          </w:p>
        </w:tc>
        <w:tc>
          <w:tcPr>
            <w:tcW w:w="1260" w:type="dxa"/>
          </w:tcPr>
          <w:p w14:paraId="77D3CA63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13083D7D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2025 emissions data prepared for CAMx with SMOKE</w:t>
            </w:r>
          </w:p>
        </w:tc>
      </w:tr>
      <w:tr w:rsidR="00F64FB7" w:rsidRPr="003D1748" w14:paraId="5B28454C" w14:textId="77777777" w:rsidTr="003D1748">
        <w:tc>
          <w:tcPr>
            <w:tcW w:w="1795" w:type="dxa"/>
          </w:tcPr>
          <w:p w14:paraId="2D62839E" w14:textId="77777777" w:rsidR="00F64FB7" w:rsidRPr="003D1748" w:rsidRDefault="00F64FB7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Meteorological Data</w:t>
            </w:r>
          </w:p>
        </w:tc>
        <w:tc>
          <w:tcPr>
            <w:tcW w:w="1890" w:type="dxa"/>
          </w:tcPr>
          <w:p w14:paraId="375FFE9E" w14:textId="77777777" w:rsidR="00F64FB7" w:rsidRPr="003D1748" w:rsidRDefault="00F64FB7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Meteorology v20</w:t>
            </w:r>
            <w:r w:rsidR="00E940D0" w:rsidRPr="003D1748">
              <w:rPr>
                <w:rFonts w:cs="Times New Roman"/>
                <w:sz w:val="18"/>
                <w:szCs w:val="18"/>
              </w:rPr>
              <w:t>11a</w:t>
            </w:r>
          </w:p>
        </w:tc>
        <w:tc>
          <w:tcPr>
            <w:tcW w:w="1260" w:type="dxa"/>
          </w:tcPr>
          <w:p w14:paraId="78B7D268" w14:textId="77777777" w:rsidR="00F64FB7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3F0FC5E9" w14:textId="77777777" w:rsidR="00F64FB7" w:rsidRPr="003D1748" w:rsidRDefault="00F64FB7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2011 meteorology data estimated with WRF and prepared for CAMx and CMAQ with WRFCAMx and MCIP</w:t>
            </w:r>
          </w:p>
        </w:tc>
      </w:tr>
      <w:tr w:rsidR="00F64FB7" w:rsidRPr="003D1748" w14:paraId="6079B502" w14:textId="77777777" w:rsidTr="003D1748">
        <w:tc>
          <w:tcPr>
            <w:tcW w:w="1795" w:type="dxa"/>
          </w:tcPr>
          <w:p w14:paraId="32F763A7" w14:textId="77777777" w:rsidR="00F64FB7" w:rsidRPr="003D1748" w:rsidRDefault="00F64FB7" w:rsidP="00F64FB7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Initial and Boundary Conditions Data</w:t>
            </w:r>
          </w:p>
        </w:tc>
        <w:tc>
          <w:tcPr>
            <w:tcW w:w="1890" w:type="dxa"/>
          </w:tcPr>
          <w:p w14:paraId="57B6DED9" w14:textId="77777777" w:rsidR="00F64FB7" w:rsidRPr="003D1748" w:rsidRDefault="00F64FB7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MOZART ICBCs</w:t>
            </w:r>
          </w:p>
        </w:tc>
        <w:tc>
          <w:tcPr>
            <w:tcW w:w="1260" w:type="dxa"/>
          </w:tcPr>
          <w:p w14:paraId="1D901B3A" w14:textId="77777777" w:rsidR="00F64FB7" w:rsidRPr="003D1748" w:rsidRDefault="00F64FB7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NOAA</w:t>
            </w:r>
            <w:r w:rsidR="00E940D0" w:rsidRPr="003D1748">
              <w:rPr>
                <w:rFonts w:cs="Times New Roman"/>
                <w:sz w:val="18"/>
                <w:szCs w:val="18"/>
              </w:rPr>
              <w:t>/3SAQS</w:t>
            </w:r>
          </w:p>
        </w:tc>
        <w:tc>
          <w:tcPr>
            <w:tcW w:w="5130" w:type="dxa"/>
          </w:tcPr>
          <w:p w14:paraId="3C71453B" w14:textId="77777777" w:rsidR="00F64FB7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2011 Initial/Boundary Conditions from NOAA global GEOS5 MOZART simulations; prepared for CAMx with MZ2CAMx; fine and coarse mode dust and sea salt removed</w:t>
            </w:r>
            <w:r w:rsidR="00F64FB7" w:rsidRPr="003D1748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940D0" w:rsidRPr="003D1748" w14:paraId="5B9FF585" w14:textId="77777777" w:rsidTr="003D1748">
        <w:tc>
          <w:tcPr>
            <w:tcW w:w="1795" w:type="dxa"/>
            <w:vMerge w:val="restart"/>
          </w:tcPr>
          <w:p w14:paraId="3821FFFE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Other Input Data</w:t>
            </w:r>
          </w:p>
        </w:tc>
        <w:tc>
          <w:tcPr>
            <w:tcW w:w="1890" w:type="dxa"/>
          </w:tcPr>
          <w:p w14:paraId="0B668D31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Ozone Columns</w:t>
            </w:r>
          </w:p>
        </w:tc>
        <w:tc>
          <w:tcPr>
            <w:tcW w:w="1260" w:type="dxa"/>
          </w:tcPr>
          <w:p w14:paraId="78434313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NASA</w:t>
            </w:r>
          </w:p>
        </w:tc>
        <w:tc>
          <w:tcPr>
            <w:tcW w:w="5130" w:type="dxa"/>
          </w:tcPr>
          <w:p w14:paraId="47712B89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Daily ozone column data processed for CAMx using the utility AHOMAPv4</w:t>
            </w:r>
          </w:p>
        </w:tc>
      </w:tr>
      <w:tr w:rsidR="00E940D0" w:rsidRPr="003D1748" w14:paraId="5BD86746" w14:textId="77777777" w:rsidTr="003D1748">
        <w:tc>
          <w:tcPr>
            <w:tcW w:w="1795" w:type="dxa"/>
            <w:vMerge/>
          </w:tcPr>
          <w:p w14:paraId="229AC57C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696FB8B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Chemistry Parameters</w:t>
            </w:r>
          </w:p>
        </w:tc>
        <w:tc>
          <w:tcPr>
            <w:tcW w:w="1260" w:type="dxa"/>
          </w:tcPr>
          <w:p w14:paraId="093CC0A4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ENVIRON</w:t>
            </w:r>
          </w:p>
        </w:tc>
        <w:tc>
          <w:tcPr>
            <w:tcW w:w="5130" w:type="dxa"/>
          </w:tcPr>
          <w:p w14:paraId="7AB70F71" w14:textId="15F194CC" w:rsidR="00E940D0" w:rsidRPr="003D1748" w:rsidRDefault="00E940D0" w:rsidP="00B6673F">
            <w:pPr>
              <w:pStyle w:val="NoSpacing"/>
              <w:tabs>
                <w:tab w:val="left" w:pos="1155"/>
              </w:tabs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CAMxv6.10 chemistry parameters files for CB6r2 and aerosol module C</w:t>
            </w:r>
          </w:p>
        </w:tc>
      </w:tr>
      <w:tr w:rsidR="00E940D0" w:rsidRPr="003D1748" w14:paraId="1609D8A7" w14:textId="77777777" w:rsidTr="003D1748">
        <w:tc>
          <w:tcPr>
            <w:tcW w:w="1795" w:type="dxa"/>
            <w:vMerge/>
          </w:tcPr>
          <w:p w14:paraId="17FEC0C6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362554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Landuse</w:t>
            </w:r>
          </w:p>
        </w:tc>
        <w:tc>
          <w:tcPr>
            <w:tcW w:w="1260" w:type="dxa"/>
          </w:tcPr>
          <w:p w14:paraId="6F42C03C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ENVIRON</w:t>
            </w:r>
          </w:p>
        </w:tc>
        <w:tc>
          <w:tcPr>
            <w:tcW w:w="5130" w:type="dxa"/>
          </w:tcPr>
          <w:p w14:paraId="6ED5AAE4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NALC data merged with Leaf Area Index data using ArcGIS macros, Perl, and Fortran</w:t>
            </w:r>
          </w:p>
        </w:tc>
      </w:tr>
      <w:tr w:rsidR="00E940D0" w:rsidRPr="003D1748" w14:paraId="4C08063A" w14:textId="77777777" w:rsidTr="003D1748">
        <w:tc>
          <w:tcPr>
            <w:tcW w:w="1795" w:type="dxa"/>
            <w:vMerge/>
          </w:tcPr>
          <w:p w14:paraId="12C940D5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C8EDC4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Total UV columns</w:t>
            </w:r>
          </w:p>
        </w:tc>
        <w:tc>
          <w:tcPr>
            <w:tcW w:w="1260" w:type="dxa"/>
          </w:tcPr>
          <w:p w14:paraId="30564F7F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ENVIRON</w:t>
            </w:r>
          </w:p>
        </w:tc>
        <w:tc>
          <w:tcPr>
            <w:tcW w:w="5130" w:type="dxa"/>
          </w:tcPr>
          <w:p w14:paraId="7A348610" w14:textId="77777777" w:rsidR="00E940D0" w:rsidRPr="003D1748" w:rsidRDefault="00E940D0" w:rsidP="00C025E4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Daily photolysis rates calculated using TUV v4.8</w:t>
            </w:r>
          </w:p>
        </w:tc>
      </w:tr>
      <w:tr w:rsidR="00E940D0" w:rsidRPr="003D1748" w14:paraId="27EF0113" w14:textId="77777777" w:rsidTr="003D1748">
        <w:tc>
          <w:tcPr>
            <w:tcW w:w="1795" w:type="dxa"/>
            <w:vMerge w:val="restart"/>
          </w:tcPr>
          <w:p w14:paraId="6AE3C6FE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Other Output Data</w:t>
            </w:r>
          </w:p>
        </w:tc>
        <w:tc>
          <w:tcPr>
            <w:tcW w:w="1890" w:type="dxa"/>
          </w:tcPr>
          <w:p w14:paraId="3F55FC01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CAMx Base11b</w:t>
            </w:r>
          </w:p>
        </w:tc>
        <w:tc>
          <w:tcPr>
            <w:tcW w:w="1260" w:type="dxa"/>
          </w:tcPr>
          <w:p w14:paraId="60B18468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15318604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Output data from a 2011 36/12/4-km domain CAMx simulation with MOZART boundary conditions</w:t>
            </w:r>
          </w:p>
        </w:tc>
      </w:tr>
      <w:tr w:rsidR="00E940D0" w:rsidRPr="003D1748" w14:paraId="026679AC" w14:textId="77777777" w:rsidTr="003D1748">
        <w:tc>
          <w:tcPr>
            <w:tcW w:w="1795" w:type="dxa"/>
            <w:vMerge/>
          </w:tcPr>
          <w:p w14:paraId="17090388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FD932C6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CMAQ Base11b</w:t>
            </w:r>
          </w:p>
        </w:tc>
        <w:tc>
          <w:tcPr>
            <w:tcW w:w="1260" w:type="dxa"/>
          </w:tcPr>
          <w:p w14:paraId="5A7DC2E0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25A9E943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Output data from a 2011 36/12/4-km domain CMAQ simulation with MOZART boundary conditions</w:t>
            </w:r>
          </w:p>
        </w:tc>
      </w:tr>
      <w:tr w:rsidR="00E940D0" w:rsidRPr="003D1748" w14:paraId="020B9F65" w14:textId="77777777" w:rsidTr="003D1748">
        <w:tc>
          <w:tcPr>
            <w:tcW w:w="1795" w:type="dxa"/>
            <w:vMerge/>
          </w:tcPr>
          <w:p w14:paraId="30567628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FFF989F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CAMx Base25a_11</w:t>
            </w:r>
          </w:p>
        </w:tc>
        <w:tc>
          <w:tcPr>
            <w:tcW w:w="1260" w:type="dxa"/>
          </w:tcPr>
          <w:p w14:paraId="0B8F1688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0B60222C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Output data from a 2011-based 2025 36/12/4-km domain CAMx simulation with MOZART boundary conditions</w:t>
            </w:r>
          </w:p>
        </w:tc>
      </w:tr>
      <w:tr w:rsidR="00E940D0" w:rsidRPr="003D1748" w14:paraId="11F09C43" w14:textId="77777777" w:rsidTr="003D1748">
        <w:tc>
          <w:tcPr>
            <w:tcW w:w="1795" w:type="dxa"/>
            <w:vMerge/>
          </w:tcPr>
          <w:p w14:paraId="12EE9C04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6E41361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CMAQ Base25a_11</w:t>
            </w:r>
          </w:p>
        </w:tc>
        <w:tc>
          <w:tcPr>
            <w:tcW w:w="1260" w:type="dxa"/>
          </w:tcPr>
          <w:p w14:paraId="56C85D7C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rFonts w:cs="Times New Roman"/>
                <w:sz w:val="18"/>
                <w:szCs w:val="18"/>
              </w:rPr>
              <w:t>WAQS</w:t>
            </w:r>
          </w:p>
        </w:tc>
        <w:tc>
          <w:tcPr>
            <w:tcW w:w="5130" w:type="dxa"/>
          </w:tcPr>
          <w:p w14:paraId="5FB73171" w14:textId="77777777" w:rsidR="00E940D0" w:rsidRPr="003D1748" w:rsidRDefault="00E940D0" w:rsidP="00E940D0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3D1748">
              <w:rPr>
                <w:sz w:val="18"/>
                <w:szCs w:val="18"/>
              </w:rPr>
              <w:t>Output data from a 2011-based 2025 36/12/4-km domain CMAQ simulation with MOZART boundary conditions</w:t>
            </w:r>
          </w:p>
        </w:tc>
      </w:tr>
    </w:tbl>
    <w:p w14:paraId="56A77282" w14:textId="77777777" w:rsidR="00F64FB7" w:rsidRPr="00593F44" w:rsidRDefault="00F64FB7" w:rsidP="003D1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4FB7" w:rsidRPr="00593F44" w:rsidSect="00E94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2905" w14:textId="77777777" w:rsidR="004E15B4" w:rsidRDefault="004E15B4" w:rsidP="00D44F39">
      <w:pPr>
        <w:spacing w:after="0" w:line="240" w:lineRule="auto"/>
      </w:pPr>
      <w:r>
        <w:separator/>
      </w:r>
    </w:p>
  </w:endnote>
  <w:endnote w:type="continuationSeparator" w:id="0">
    <w:p w14:paraId="157EFBBD" w14:textId="77777777" w:rsidR="004E15B4" w:rsidRDefault="004E15B4" w:rsidP="00D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1F9C8" w14:textId="77777777" w:rsidR="00C636A5" w:rsidRDefault="00C636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26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85F44" w14:textId="77777777" w:rsidR="00C636A5" w:rsidRDefault="00934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B7C02" w14:textId="77777777" w:rsidR="00C636A5" w:rsidRDefault="00C636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EDD5" w14:textId="77777777" w:rsidR="00C636A5" w:rsidRDefault="00C63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459AA" w14:textId="77777777" w:rsidR="004E15B4" w:rsidRDefault="004E15B4" w:rsidP="00D44F39">
      <w:pPr>
        <w:spacing w:after="0" w:line="240" w:lineRule="auto"/>
      </w:pPr>
      <w:r>
        <w:separator/>
      </w:r>
    </w:p>
  </w:footnote>
  <w:footnote w:type="continuationSeparator" w:id="0">
    <w:p w14:paraId="2DDFDF0D" w14:textId="77777777" w:rsidR="004E15B4" w:rsidRDefault="004E15B4" w:rsidP="00D4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2BE30" w14:textId="77777777" w:rsidR="00C636A5" w:rsidRDefault="00C63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995C" w14:textId="77777777" w:rsidR="00C636A5" w:rsidRDefault="00C636A5" w:rsidP="00E940D0">
    <w:pPr>
      <w:pStyle w:val="Header"/>
      <w:jc w:val="center"/>
      <w:rPr>
        <w:noProof/>
      </w:rPr>
    </w:pPr>
  </w:p>
  <w:p w14:paraId="1CDF3B7C" w14:textId="77777777" w:rsidR="00C636A5" w:rsidRDefault="00C636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E8399" w14:textId="77777777" w:rsidR="00C636A5" w:rsidRDefault="00C63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24E7"/>
    <w:multiLevelType w:val="hybridMultilevel"/>
    <w:tmpl w:val="F2D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3B52"/>
    <w:multiLevelType w:val="hybridMultilevel"/>
    <w:tmpl w:val="FEB6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7DF"/>
    <w:multiLevelType w:val="hybridMultilevel"/>
    <w:tmpl w:val="282C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6186"/>
    <w:multiLevelType w:val="hybridMultilevel"/>
    <w:tmpl w:val="80B08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0622"/>
    <w:multiLevelType w:val="hybridMultilevel"/>
    <w:tmpl w:val="1A8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62"/>
    <w:rsid w:val="00043EB8"/>
    <w:rsid w:val="00074783"/>
    <w:rsid w:val="000C0F70"/>
    <w:rsid w:val="00192D40"/>
    <w:rsid w:val="0027453F"/>
    <w:rsid w:val="002A27E6"/>
    <w:rsid w:val="002B7009"/>
    <w:rsid w:val="002B7167"/>
    <w:rsid w:val="003042E4"/>
    <w:rsid w:val="00333AE6"/>
    <w:rsid w:val="003736DA"/>
    <w:rsid w:val="003760BA"/>
    <w:rsid w:val="003B2C10"/>
    <w:rsid w:val="003D1748"/>
    <w:rsid w:val="004913E7"/>
    <w:rsid w:val="004E15B4"/>
    <w:rsid w:val="00593F44"/>
    <w:rsid w:val="0060042B"/>
    <w:rsid w:val="00671637"/>
    <w:rsid w:val="007A2462"/>
    <w:rsid w:val="007D6D83"/>
    <w:rsid w:val="007E22AE"/>
    <w:rsid w:val="008405B3"/>
    <w:rsid w:val="008B38F0"/>
    <w:rsid w:val="00934F1E"/>
    <w:rsid w:val="00992D43"/>
    <w:rsid w:val="009B5096"/>
    <w:rsid w:val="009D06F0"/>
    <w:rsid w:val="00A1556A"/>
    <w:rsid w:val="00A32635"/>
    <w:rsid w:val="00A805F8"/>
    <w:rsid w:val="00AC5CF1"/>
    <w:rsid w:val="00B22CAF"/>
    <w:rsid w:val="00B6592A"/>
    <w:rsid w:val="00B6673F"/>
    <w:rsid w:val="00BB491F"/>
    <w:rsid w:val="00BF5C61"/>
    <w:rsid w:val="00C025E4"/>
    <w:rsid w:val="00C636A5"/>
    <w:rsid w:val="00D44F39"/>
    <w:rsid w:val="00D57F0E"/>
    <w:rsid w:val="00DD52D8"/>
    <w:rsid w:val="00E60437"/>
    <w:rsid w:val="00E62DC3"/>
    <w:rsid w:val="00E940D0"/>
    <w:rsid w:val="00EB5AC4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A5F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35"/>
  </w:style>
  <w:style w:type="paragraph" w:styleId="Heading3">
    <w:name w:val="heading 3"/>
    <w:basedOn w:val="Normal"/>
    <w:link w:val="Heading3Char"/>
    <w:uiPriority w:val="9"/>
    <w:qFormat/>
    <w:rsid w:val="007A2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A2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24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246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24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A24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A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462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3F44"/>
  </w:style>
  <w:style w:type="paragraph" w:styleId="Header">
    <w:name w:val="header"/>
    <w:basedOn w:val="Normal"/>
    <w:link w:val="HeaderChar"/>
    <w:uiPriority w:val="99"/>
    <w:unhideWhenUsed/>
    <w:rsid w:val="00D4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39"/>
  </w:style>
  <w:style w:type="paragraph" w:styleId="Footer">
    <w:name w:val="footer"/>
    <w:basedOn w:val="Normal"/>
    <w:link w:val="FooterChar"/>
    <w:uiPriority w:val="99"/>
    <w:unhideWhenUsed/>
    <w:rsid w:val="00D4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39"/>
  </w:style>
  <w:style w:type="character" w:styleId="CommentReference">
    <w:name w:val="annotation reference"/>
    <w:basedOn w:val="DefaultParagraphFont"/>
    <w:uiPriority w:val="99"/>
    <w:semiHidden/>
    <w:unhideWhenUsed/>
    <w:rsid w:val="00A8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5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0F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be.cira.colostate.edu/wiki/Attachments/Modeling/3SAQS_Base11a_MPE_Draft_10Nov2014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ibe.cira.colostate.edu/wiki/Attachments/Modeling/3SAQS_2011_Modeling_Protocol_Finalv2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ibe.cira.colostate.edu/wiki/wiki/1043/bc-sensitivity-modeling-resul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2016-04-20T23:20:00Z</dcterms:created>
  <dcterms:modified xsi:type="dcterms:W3CDTF">2016-04-20T23:27:00Z</dcterms:modified>
</cp:coreProperties>
</file>