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3AFC" w14:textId="20A2CD77" w:rsidR="006D5539" w:rsidRPr="00B631A5" w:rsidRDefault="00CF2C75" w:rsidP="004657F7">
      <w:pPr>
        <w:pStyle w:val="NoSpacing"/>
        <w:rPr>
          <w:b/>
        </w:rPr>
      </w:pPr>
      <w:r>
        <w:rPr>
          <w:b/>
        </w:rPr>
        <w:t>Recommendations for E</w:t>
      </w:r>
      <w:r w:rsidR="008734AF">
        <w:rPr>
          <w:b/>
        </w:rPr>
        <w:t xml:space="preserve">valuating the Performance of the </w:t>
      </w:r>
      <w:r>
        <w:rPr>
          <w:b/>
        </w:rPr>
        <w:t xml:space="preserve">3SAQS </w:t>
      </w:r>
      <w:r w:rsidR="004657F7" w:rsidRPr="00B631A5">
        <w:rPr>
          <w:b/>
        </w:rPr>
        <w:t xml:space="preserve">Photochemical </w:t>
      </w:r>
      <w:r w:rsidR="008734AF">
        <w:rPr>
          <w:b/>
        </w:rPr>
        <w:t xml:space="preserve">Grid </w:t>
      </w:r>
      <w:r w:rsidR="004657F7" w:rsidRPr="00B631A5">
        <w:rPr>
          <w:b/>
        </w:rPr>
        <w:t>Model Platform</w:t>
      </w:r>
    </w:p>
    <w:p w14:paraId="213946F1" w14:textId="77777777" w:rsidR="004657F7" w:rsidRDefault="004657F7" w:rsidP="004657F7">
      <w:pPr>
        <w:pStyle w:val="NoSpacing"/>
      </w:pPr>
    </w:p>
    <w:p w14:paraId="574B650D" w14:textId="2267C531" w:rsidR="00FA0952" w:rsidRDefault="00FA0952" w:rsidP="00FA0952">
      <w:pPr>
        <w:pStyle w:val="NoSpacing"/>
      </w:pPr>
      <w:r w:rsidRPr="00B631A5">
        <w:rPr>
          <w:b/>
        </w:rPr>
        <w:t>Purpose:</w:t>
      </w:r>
      <w:r>
        <w:t xml:space="preserve"> </w:t>
      </w:r>
    </w:p>
    <w:p w14:paraId="2B695770" w14:textId="7F7BCDDD" w:rsidR="00637A04" w:rsidRDefault="004E3915" w:rsidP="00CF2C75">
      <w:pPr>
        <w:pStyle w:val="NoSpacing"/>
      </w:pPr>
      <w:r>
        <w:t>This document</w:t>
      </w:r>
      <w:r w:rsidR="00CF2C75">
        <w:t xml:space="preserve"> recommends</w:t>
      </w:r>
      <w:r w:rsidR="008734AF">
        <w:t xml:space="preserve"> a </w:t>
      </w:r>
      <w:r w:rsidR="00CF2C75">
        <w:t>series of model evaluation analyses</w:t>
      </w:r>
      <w:r w:rsidR="008734AF">
        <w:t xml:space="preserve"> to</w:t>
      </w:r>
      <w:r>
        <w:t xml:space="preserve"> assist the 3SAQS</w:t>
      </w:r>
      <w:r w:rsidR="00637A04">
        <w:t xml:space="preserve"> </w:t>
      </w:r>
      <w:r>
        <w:t>Technical Workgroup</w:t>
      </w:r>
      <w:r w:rsidR="008734AF">
        <w:t xml:space="preserve"> in</w:t>
      </w:r>
      <w:r>
        <w:t xml:space="preserve"> determining the adequacy of the photochemical grid model</w:t>
      </w:r>
      <w:r w:rsidR="00DF7C6F">
        <w:t xml:space="preserve"> (PGM)</w:t>
      </w:r>
      <w:r>
        <w:t xml:space="preserve"> platform for use in NEPA and other air quali</w:t>
      </w:r>
      <w:r w:rsidR="004A2069">
        <w:t>ty modeling applications</w:t>
      </w:r>
      <w:r w:rsidR="00D73871">
        <w:t xml:space="preserve">.  </w:t>
      </w:r>
      <w:r w:rsidR="00CF2C75">
        <w:t xml:space="preserve">Along with the recommendations for the </w:t>
      </w:r>
      <w:r w:rsidR="00D73871">
        <w:t xml:space="preserve">completion of </w:t>
      </w:r>
      <w:r w:rsidR="00C264C7">
        <w:t xml:space="preserve">a set of standard </w:t>
      </w:r>
      <w:r w:rsidR="00637A04">
        <w:t>analyses for characterizing an</w:t>
      </w:r>
      <w:r w:rsidR="00CF2C75">
        <w:t xml:space="preserve">d evaluating the model platform, the document also provides </w:t>
      </w:r>
      <w:r w:rsidR="00637A04">
        <w:t>an approach for summarizing and</w:t>
      </w:r>
      <w:r w:rsidR="00CF2C75">
        <w:t xml:space="preserve"> interpreting the results of the </w:t>
      </w:r>
      <w:r w:rsidR="00637A04">
        <w:t>model performance evaluation</w:t>
      </w:r>
      <w:r w:rsidR="00CF2C75">
        <w:t xml:space="preserve"> (MPE)</w:t>
      </w:r>
      <w:r w:rsidR="00637A04">
        <w:t xml:space="preserve"> to determine the adequacy of the model platform</w:t>
      </w:r>
      <w:r w:rsidR="004A2069">
        <w:t xml:space="preserve"> for a specific use</w:t>
      </w:r>
      <w:r w:rsidR="00637A04">
        <w:t xml:space="preserve">. </w:t>
      </w:r>
      <w:r w:rsidR="00F411B4">
        <w:t>The approach outlined below does not replace the Air Quality Modeling Protocol. However, this document could be attached as an appendix or incorporated into the modeling protocol.</w:t>
      </w:r>
    </w:p>
    <w:p w14:paraId="5278501E" w14:textId="77777777" w:rsidR="004A2069" w:rsidRDefault="004A2069" w:rsidP="00637A04">
      <w:pPr>
        <w:pStyle w:val="NoSpacing"/>
      </w:pPr>
    </w:p>
    <w:p w14:paraId="034C2EFF" w14:textId="5D4F4186" w:rsidR="00637A04" w:rsidRDefault="004A2069" w:rsidP="00637A04">
      <w:pPr>
        <w:pStyle w:val="NoSpacing"/>
      </w:pPr>
      <w:r>
        <w:t>It is expected that this</w:t>
      </w:r>
      <w:r w:rsidR="00D73871">
        <w:t xml:space="preserve"> document will </w:t>
      </w:r>
      <w:r w:rsidR="00637A04">
        <w:t xml:space="preserve">assist the 3SAQS </w:t>
      </w:r>
      <w:r w:rsidR="00D73871">
        <w:t xml:space="preserve">Technical Workgroup in identifying the </w:t>
      </w:r>
      <w:r w:rsidR="00637A04">
        <w:t xml:space="preserve">resources (time and funding) </w:t>
      </w:r>
      <w:r w:rsidR="00550855">
        <w:t xml:space="preserve">that will be </w:t>
      </w:r>
      <w:r w:rsidR="00D73871">
        <w:t xml:space="preserve">needed </w:t>
      </w:r>
      <w:r w:rsidR="00637A04">
        <w:t>to comp</w:t>
      </w:r>
      <w:r w:rsidR="00CF2C75">
        <w:t>lete</w:t>
      </w:r>
      <w:r w:rsidR="00637A04">
        <w:t xml:space="preserve"> future model </w:t>
      </w:r>
      <w:r w:rsidR="00CF2C75">
        <w:t>platform</w:t>
      </w:r>
      <w:r w:rsidR="00637A04">
        <w:t xml:space="preserve"> evaluations.</w:t>
      </w:r>
      <w:r w:rsidR="00D73871">
        <w:t xml:space="preserve"> </w:t>
      </w:r>
      <w:r w:rsidR="00CF2C75">
        <w:t>The</w:t>
      </w:r>
      <w:r w:rsidR="00D73871">
        <w:t xml:space="preserve"> document is </w:t>
      </w:r>
      <w:r w:rsidR="00550855">
        <w:t xml:space="preserve">based on </w:t>
      </w:r>
      <w:r w:rsidR="00D73871">
        <w:t>existing EPA guidance on model performance evaluations</w:t>
      </w:r>
      <w:r w:rsidR="00CF2C75">
        <w:t xml:space="preserve"> </w:t>
      </w:r>
      <w:r w:rsidR="00550855">
        <w:t xml:space="preserve">(USEPA, 2014) and is supplemented </w:t>
      </w:r>
      <w:r w:rsidR="00CF2C75">
        <w:t>with analyses that are particularly relevant for air quality concerns in the western U</w:t>
      </w:r>
      <w:r w:rsidR="00F411B4">
        <w:t>nited States</w:t>
      </w:r>
      <w:r w:rsidR="00D73871">
        <w:t>.</w:t>
      </w:r>
    </w:p>
    <w:p w14:paraId="6AD39106" w14:textId="77777777" w:rsidR="0029360E" w:rsidRDefault="0029360E" w:rsidP="00FA0952">
      <w:pPr>
        <w:pStyle w:val="NoSpacing"/>
      </w:pPr>
    </w:p>
    <w:p w14:paraId="3F9D009C" w14:textId="294CDE29" w:rsidR="00FA0952" w:rsidRPr="00DC451A" w:rsidRDefault="007832C0" w:rsidP="00FA0952">
      <w:pPr>
        <w:pStyle w:val="NoSpacing"/>
        <w:rPr>
          <w:b/>
        </w:rPr>
      </w:pPr>
      <w:r>
        <w:rPr>
          <w:b/>
        </w:rPr>
        <w:t>Background</w:t>
      </w:r>
      <w:r w:rsidR="00FA0952">
        <w:rPr>
          <w:b/>
        </w:rPr>
        <w:t>:</w:t>
      </w:r>
    </w:p>
    <w:p w14:paraId="2B76F983" w14:textId="7C856802" w:rsidR="00A239C8" w:rsidRDefault="00D73871" w:rsidP="006D5FD8">
      <w:pPr>
        <w:pStyle w:val="NoSpacing"/>
      </w:pPr>
      <w:r>
        <w:t>The objective of a model performance e</w:t>
      </w:r>
      <w:r w:rsidR="0041010D">
        <w:t>valuation (M</w:t>
      </w:r>
      <w:r w:rsidR="00A90975">
        <w:t>PE</w:t>
      </w:r>
      <w:r w:rsidR="0041010D">
        <w:t>)</w:t>
      </w:r>
      <w:r w:rsidR="00A90975">
        <w:t xml:space="preserve"> is to demonstrate that the base case model can simulate observed pollution concentrations during historical </w:t>
      </w:r>
      <w:r>
        <w:t>periods</w:t>
      </w:r>
      <w:r w:rsidR="00A90975">
        <w:t xml:space="preserve"> and </w:t>
      </w:r>
      <w:r w:rsidR="00CC697B">
        <w:t xml:space="preserve">thereby </w:t>
      </w:r>
      <w:r w:rsidR="00A90975">
        <w:t xml:space="preserve">develop confidence that the model can reliably predict how future pollution levels will change in response to changes in emissions. </w:t>
      </w:r>
      <w:r w:rsidR="00CC697B">
        <w:t xml:space="preserve">There are multiple approaches for evaluating model performance (USEPA, 2014).  </w:t>
      </w:r>
      <w:r>
        <w:t>T</w:t>
      </w:r>
      <w:r w:rsidR="007832C0">
        <w:t xml:space="preserve">his document focuses </w:t>
      </w:r>
      <w:r w:rsidR="00CC697B">
        <w:t>specifically on the</w:t>
      </w:r>
      <w:r w:rsidR="00A239C8">
        <w:t xml:space="preserve"> analyses</w:t>
      </w:r>
      <w:r w:rsidR="007832C0">
        <w:t xml:space="preserve"> </w:t>
      </w:r>
      <w:r w:rsidR="00CC697B">
        <w:t xml:space="preserve">important </w:t>
      </w:r>
      <w:r w:rsidR="007832C0">
        <w:t>for operat</w:t>
      </w:r>
      <w:r>
        <w:t>ional and diagnostic evaluations</w:t>
      </w:r>
      <w:r w:rsidR="00C264C7">
        <w:t>. A</w:t>
      </w:r>
      <w:r w:rsidR="007832C0">
        <w:t xml:space="preserve">nalyses to support dynamic </w:t>
      </w:r>
      <w:r w:rsidR="00C264C7">
        <w:t>and probabilistic evaluations can be found in EPA’s air quality modeling guidance.</w:t>
      </w:r>
    </w:p>
    <w:p w14:paraId="65506CF8" w14:textId="77777777" w:rsidR="00C264C7" w:rsidRDefault="00C264C7" w:rsidP="006D5FD8">
      <w:pPr>
        <w:pStyle w:val="NoSpacing"/>
      </w:pPr>
    </w:p>
    <w:p w14:paraId="56B0E27D" w14:textId="0CBAFE89" w:rsidR="00E53999" w:rsidRDefault="00CC697B" w:rsidP="00E53999">
      <w:pPr>
        <w:pStyle w:val="NoSpacing"/>
      </w:pPr>
      <w:r>
        <w:t>The goal of an</w:t>
      </w:r>
      <w:r w:rsidR="006D5FD8">
        <w:t xml:space="preserve"> operational evaluation is to determine how well the model replicates observed</w:t>
      </w:r>
      <w:r w:rsidR="007832C0">
        <w:t xml:space="preserve"> </w:t>
      </w:r>
      <w:r w:rsidR="006D5FD8">
        <w:t>concentrations of PM</w:t>
      </w:r>
      <w:r w:rsidR="006D5FD8">
        <w:rPr>
          <w:sz w:val="16"/>
          <w:szCs w:val="16"/>
        </w:rPr>
        <w:t xml:space="preserve">2.5 </w:t>
      </w:r>
      <w:r w:rsidR="006D5FD8">
        <w:t>components, ozone and their precursors.</w:t>
      </w:r>
      <w:r w:rsidR="00FC7106">
        <w:t xml:space="preserve"> While historically most of the </w:t>
      </w:r>
      <w:r w:rsidR="002A68D1">
        <w:t xml:space="preserve">evaluation </w:t>
      </w:r>
      <w:r w:rsidR="00FC7106">
        <w:t>effort</w:t>
      </w:r>
      <w:r w:rsidR="002A68D1">
        <w:t>s</w:t>
      </w:r>
      <w:r w:rsidR="00FC7106">
        <w:t xml:space="preserve"> ha</w:t>
      </w:r>
      <w:r w:rsidR="002A68D1">
        <w:t>ve</w:t>
      </w:r>
      <w:r w:rsidR="00FC7106">
        <w:t xml:space="preserve"> focused on the operational evaluation, the MPE should also include some level of diagnostic evaluation where practical. </w:t>
      </w:r>
      <w:r w:rsidR="006D5FD8">
        <w:t>Diagnostic</w:t>
      </w:r>
      <w:r w:rsidR="00A239C8">
        <w:t xml:space="preserve"> e</w:t>
      </w:r>
      <w:r w:rsidR="006D5FD8">
        <w:t>valuations are used to determine whether the model accurately represents the processes that</w:t>
      </w:r>
      <w:r w:rsidR="00A239C8">
        <w:t xml:space="preserve"> </w:t>
      </w:r>
      <w:r w:rsidR="00ED7251">
        <w:t>affect</w:t>
      </w:r>
      <w:r w:rsidR="006D5FD8">
        <w:t xml:space="preserve"> pollutant concentrations</w:t>
      </w:r>
      <w:r w:rsidR="00ED7251">
        <w:t xml:space="preserve">. For instance, these evaluations assist in </w:t>
      </w:r>
      <w:r w:rsidR="00FC7106">
        <w:t>determin</w:t>
      </w:r>
      <w:r w:rsidR="00ED7251">
        <w:t>ing</w:t>
      </w:r>
      <w:r w:rsidR="00FC7106">
        <w:t xml:space="preserve"> </w:t>
      </w:r>
      <w:r w:rsidR="005C6841">
        <w:t>whether the model</w:t>
      </w:r>
      <w:r w:rsidR="00A239C8">
        <w:t xml:space="preserve"> accurately reproduc</w:t>
      </w:r>
      <w:r w:rsidR="00ED7251">
        <w:t>es</w:t>
      </w:r>
      <w:r w:rsidR="00A239C8">
        <w:t xml:space="preserve"> the observed conditions for the right reasons. These processes within the model include </w:t>
      </w:r>
      <w:r w:rsidR="006D5FD8">
        <w:t xml:space="preserve">emissions, dispersion, chemical reactions, and </w:t>
      </w:r>
      <w:r w:rsidR="00A239C8">
        <w:t xml:space="preserve">deposition. </w:t>
      </w:r>
      <w:r w:rsidR="00412FC8">
        <w:t xml:space="preserve">For cases in which the model performs poorly in the operational evaluation, the diagnostic evaluation can provide insights into the causes of the poor performance and </w:t>
      </w:r>
      <w:r w:rsidR="005C6841">
        <w:t xml:space="preserve">how </w:t>
      </w:r>
      <w:r w:rsidR="00412FC8">
        <w:t xml:space="preserve">to improve model performance. </w:t>
      </w:r>
      <w:r w:rsidR="00E53999">
        <w:t>C</w:t>
      </w:r>
      <w:r w:rsidR="00A90975">
        <w:t xml:space="preserve">omprehensive diagnostic testing of the model can </w:t>
      </w:r>
      <w:r w:rsidR="00412FC8">
        <w:t xml:space="preserve">also </w:t>
      </w:r>
      <w:r w:rsidR="00A90975">
        <w:t xml:space="preserve">be a valuable component of the weight of evidence analysis </w:t>
      </w:r>
      <w:r w:rsidR="00E53999">
        <w:t xml:space="preserve">used to determine when the model platform is sufficient for particular modeling applications. </w:t>
      </w:r>
    </w:p>
    <w:p w14:paraId="023B9D1C" w14:textId="77777777" w:rsidR="00E53999" w:rsidRDefault="00E53999" w:rsidP="00A90975">
      <w:pPr>
        <w:pStyle w:val="NoSpacing"/>
      </w:pPr>
    </w:p>
    <w:p w14:paraId="753383A5" w14:textId="665FCB58" w:rsidR="00027FC0" w:rsidRDefault="00027FC0" w:rsidP="00027FC0">
      <w:pPr>
        <w:pStyle w:val="NoSpacing"/>
      </w:pPr>
      <w:r>
        <w:rPr>
          <w:b/>
        </w:rPr>
        <w:t>Organization of Document:</w:t>
      </w:r>
    </w:p>
    <w:p w14:paraId="31D1B153" w14:textId="357D8FAA" w:rsidR="00E62BB0" w:rsidRDefault="00A23210" w:rsidP="00E62BB0">
      <w:pPr>
        <w:pStyle w:val="NoSpacing"/>
      </w:pPr>
      <w:r>
        <w:t xml:space="preserve">The analyses and work products </w:t>
      </w:r>
      <w:r w:rsidR="00736173">
        <w:t>recommended for completion</w:t>
      </w:r>
      <w:r w:rsidR="00D3602A">
        <w:t xml:space="preserve"> as part of the</w:t>
      </w:r>
      <w:r>
        <w:t xml:space="preserve"> </w:t>
      </w:r>
      <w:r w:rsidR="00044737">
        <w:t xml:space="preserve">3SAQS </w:t>
      </w:r>
      <w:r>
        <w:t>air quality modeling efforts</w:t>
      </w:r>
      <w:r w:rsidR="00D3602A">
        <w:t xml:space="preserve"> have been </w:t>
      </w:r>
      <w:r w:rsidR="00E62BB0">
        <w:t xml:space="preserve">grouped by each component of the </w:t>
      </w:r>
      <w:r w:rsidR="00550855">
        <w:t>PGM</w:t>
      </w:r>
      <w:r w:rsidR="00E62BB0">
        <w:t xml:space="preserve"> platform to help in being specific and for ease in distribution.</w:t>
      </w:r>
      <w:r>
        <w:t xml:space="preserve"> </w:t>
      </w:r>
      <w:r w:rsidR="00E62BB0">
        <w:t>Sections of the document include:</w:t>
      </w:r>
    </w:p>
    <w:p w14:paraId="548C872E" w14:textId="6907A6B1" w:rsidR="00E62BB0" w:rsidRDefault="00E62BB0" w:rsidP="00817839">
      <w:pPr>
        <w:pStyle w:val="NoSpacing"/>
        <w:numPr>
          <w:ilvl w:val="0"/>
          <w:numId w:val="1"/>
        </w:numPr>
      </w:pPr>
      <w:r>
        <w:t>Assessment of boundary</w:t>
      </w:r>
      <w:r w:rsidR="00736173">
        <w:t xml:space="preserve"> </w:t>
      </w:r>
      <w:r>
        <w:t xml:space="preserve">conditions </w:t>
      </w:r>
    </w:p>
    <w:p w14:paraId="609DD7E0" w14:textId="3D04EF55" w:rsidR="00044737" w:rsidRDefault="00736173" w:rsidP="00817839">
      <w:pPr>
        <w:pStyle w:val="NoSpacing"/>
        <w:numPr>
          <w:ilvl w:val="0"/>
          <w:numId w:val="1"/>
        </w:numPr>
      </w:pPr>
      <w:r>
        <w:t>Assessment</w:t>
      </w:r>
      <w:r w:rsidR="00044737">
        <w:t xml:space="preserve"> of emissions inventory and modeling results</w:t>
      </w:r>
    </w:p>
    <w:p w14:paraId="2E2ADB3C" w14:textId="77777777" w:rsidR="00E62BB0" w:rsidRDefault="00E62BB0" w:rsidP="00817839">
      <w:pPr>
        <w:pStyle w:val="NoSpacing"/>
        <w:numPr>
          <w:ilvl w:val="0"/>
          <w:numId w:val="1"/>
        </w:numPr>
      </w:pPr>
      <w:r>
        <w:t>Evaluation of meteorological modeling results</w:t>
      </w:r>
    </w:p>
    <w:p w14:paraId="6717A713" w14:textId="5FFC7675" w:rsidR="00A378E2" w:rsidRDefault="00E62BB0" w:rsidP="00817839">
      <w:pPr>
        <w:pStyle w:val="NoSpacing"/>
        <w:numPr>
          <w:ilvl w:val="0"/>
          <w:numId w:val="1"/>
        </w:numPr>
      </w:pPr>
      <w:r>
        <w:t xml:space="preserve">Evaluation of photochemical </w:t>
      </w:r>
      <w:r w:rsidR="00DF7C6F">
        <w:t xml:space="preserve">grid </w:t>
      </w:r>
      <w:r>
        <w:t>modeling results</w:t>
      </w:r>
    </w:p>
    <w:p w14:paraId="2CFD4194" w14:textId="5F323D4F" w:rsidR="00736173" w:rsidRDefault="00736173" w:rsidP="00817839">
      <w:pPr>
        <w:pStyle w:val="NoSpacing"/>
        <w:numPr>
          <w:ilvl w:val="0"/>
          <w:numId w:val="1"/>
        </w:numPr>
      </w:pPr>
      <w:r>
        <w:t>Summarizing and interpreting results of platform MPE</w:t>
      </w:r>
    </w:p>
    <w:p w14:paraId="14E922A3" w14:textId="77777777" w:rsidR="00270ED8" w:rsidRDefault="00270ED8" w:rsidP="00270ED8">
      <w:pPr>
        <w:pStyle w:val="NoSpacing"/>
        <w:ind w:left="720"/>
      </w:pPr>
    </w:p>
    <w:p w14:paraId="553A7632" w14:textId="200FF23D" w:rsidR="00ED14B3" w:rsidRDefault="00A23210" w:rsidP="00A90975">
      <w:pPr>
        <w:pStyle w:val="NoSpacing"/>
      </w:pPr>
      <w:r>
        <w:t>Within each section or component of the modeling platform</w:t>
      </w:r>
      <w:r w:rsidR="00044737">
        <w:t xml:space="preserve"> included in this document</w:t>
      </w:r>
      <w:r>
        <w:t xml:space="preserve">, analyses and work products are </w:t>
      </w:r>
      <w:r w:rsidR="00A378E2">
        <w:t xml:space="preserve">prioritized and </w:t>
      </w:r>
      <w:r>
        <w:t xml:space="preserve">categorized by operational evaluation or diagnostic evaluation. </w:t>
      </w:r>
      <w:r w:rsidR="00A378E2">
        <w:t xml:space="preserve">While not all of the analyses outlined in this document are required and may not be necessary to complete until model performance </w:t>
      </w:r>
      <w:r w:rsidR="00A378E2">
        <w:lastRenderedPageBreak/>
        <w:t>issues are identified in the operational evaluation, it is important to recognize these analyses and work products so that the components of the modeling platform can be configured to store and output information for instances when these analyses are needed.</w:t>
      </w:r>
      <w:r w:rsidR="00736173">
        <w:t xml:space="preserve"> </w:t>
      </w:r>
      <w:r w:rsidR="00A378E2">
        <w:t>In addition, t</w:t>
      </w:r>
      <w:r w:rsidR="00451320">
        <w:t xml:space="preserve">his document </w:t>
      </w:r>
      <w:r w:rsidR="00270ED8">
        <w:t>includes a section that</w:t>
      </w:r>
      <w:r w:rsidR="00451320">
        <w:t xml:space="preserve"> recommends an approach for </w:t>
      </w:r>
      <w:r w:rsidR="00ED14B3">
        <w:t xml:space="preserve">summarizing and </w:t>
      </w:r>
      <w:r w:rsidR="006B0449">
        <w:t>interpreting the results of the MPE</w:t>
      </w:r>
      <w:r w:rsidR="00EB1A92">
        <w:t>s</w:t>
      </w:r>
      <w:r w:rsidR="006B0449">
        <w:t xml:space="preserve"> to </w:t>
      </w:r>
      <w:r w:rsidR="00582072">
        <w:t xml:space="preserve">assist the 3SAQS in </w:t>
      </w:r>
      <w:r w:rsidR="00451320">
        <w:t>document</w:t>
      </w:r>
      <w:r w:rsidR="00582072">
        <w:t>ing</w:t>
      </w:r>
      <w:r w:rsidR="00451320">
        <w:t xml:space="preserve"> the level of the model performance</w:t>
      </w:r>
      <w:r w:rsidR="00A378E2">
        <w:t xml:space="preserve"> and </w:t>
      </w:r>
      <w:r w:rsidR="00582072">
        <w:t>determining</w:t>
      </w:r>
      <w:r w:rsidR="006B0449">
        <w:t xml:space="preserve"> the adequacy of the model platform</w:t>
      </w:r>
      <w:r w:rsidR="00451320">
        <w:t xml:space="preserve"> for use in NEPA and air quality planning projects</w:t>
      </w:r>
      <w:r w:rsidR="006B0449">
        <w:t>.</w:t>
      </w:r>
    </w:p>
    <w:p w14:paraId="777CD13E" w14:textId="77777777" w:rsidR="00736173" w:rsidRDefault="00736173" w:rsidP="00736173">
      <w:pPr>
        <w:pStyle w:val="NoSpacing"/>
        <w:rPr>
          <w:b/>
        </w:rPr>
      </w:pPr>
    </w:p>
    <w:p w14:paraId="47664FE1" w14:textId="4813F95D" w:rsidR="00736173" w:rsidRPr="00EA75AE" w:rsidRDefault="00736173" w:rsidP="00736173">
      <w:pPr>
        <w:pStyle w:val="NoSpacing"/>
        <w:rPr>
          <w:b/>
        </w:rPr>
      </w:pPr>
      <w:r>
        <w:rPr>
          <w:b/>
        </w:rPr>
        <w:t>ASSESSMENT OF</w:t>
      </w:r>
      <w:r w:rsidRPr="00EA75AE">
        <w:rPr>
          <w:b/>
        </w:rPr>
        <w:t xml:space="preserve"> BOUN</w:t>
      </w:r>
      <w:r>
        <w:rPr>
          <w:b/>
        </w:rPr>
        <w:t>DARY CONDITIONS</w:t>
      </w:r>
    </w:p>
    <w:p w14:paraId="3B13464D" w14:textId="77777777" w:rsidR="00736173" w:rsidRDefault="00736173" w:rsidP="00736173">
      <w:pPr>
        <w:pStyle w:val="NoSpacing"/>
      </w:pPr>
    </w:p>
    <w:p w14:paraId="720AFD37" w14:textId="4B84DD0F" w:rsidR="005878C8" w:rsidRDefault="00496AAB" w:rsidP="00736173">
      <w:pPr>
        <w:pStyle w:val="NoSpacing"/>
      </w:pPr>
      <w:r>
        <w:t xml:space="preserve">Previous regional modeling analyses </w:t>
      </w:r>
      <w:r w:rsidR="005D297E">
        <w:t xml:space="preserve">over the 3SAQS region </w:t>
      </w:r>
      <w:r>
        <w:t xml:space="preserve">have shown significant influence from model boundary conditions on simulated pollutant concentrations within the domain (WRAP, 2013).  </w:t>
      </w:r>
      <w:r w:rsidR="00736173">
        <w:t>A</w:t>
      </w:r>
      <w:r>
        <w:t>s a result, a</w:t>
      </w:r>
      <w:r w:rsidR="00736173">
        <w:t xml:space="preserve">n initial qualitative assessment of the boundary conditions </w:t>
      </w:r>
      <w:r>
        <w:t>and their influence on simulated concentrations within the domain is recommended.  This is intended to assist in determining how accurately the model platform simulates transport of air pollution from outside the domain</w:t>
      </w:r>
      <w:r w:rsidR="005D297E">
        <w:t xml:space="preserve"> to locations within the domain</w:t>
      </w:r>
      <w:r>
        <w:t xml:space="preserve"> through the use of boundary conditions derived from </w:t>
      </w:r>
      <w:r w:rsidR="005878C8">
        <w:t xml:space="preserve">a </w:t>
      </w:r>
      <w:r w:rsidR="00736173">
        <w:t>global model</w:t>
      </w:r>
      <w:r w:rsidR="005878C8">
        <w:t xml:space="preserve"> simulation</w:t>
      </w:r>
      <w:r w:rsidR="00736173">
        <w:t xml:space="preserve"> (e.g., GEOS-Chem, MOZART, AM3, hemispheric CMAQ, etc.). </w:t>
      </w:r>
      <w:r w:rsidR="00306B2C">
        <w:t xml:space="preserve"> </w:t>
      </w:r>
      <w:r w:rsidR="00306B2C" w:rsidRPr="00306B2C">
        <w:t xml:space="preserve">This can be evaluated </w:t>
      </w:r>
      <w:r w:rsidR="00306B2C">
        <w:t>in</w:t>
      </w:r>
      <w:r w:rsidR="00306B2C" w:rsidRPr="00306B2C">
        <w:t xml:space="preserve"> a model simulation using BC inputs without simulating emissions or chemistry, or a simulation with zero US anthropogenic emissions to assess US background levels of </w:t>
      </w:r>
      <w:r w:rsidR="00E328CF">
        <w:t>O</w:t>
      </w:r>
      <w:r w:rsidR="00E328CF" w:rsidRPr="00E328CF">
        <w:rPr>
          <w:vertAlign w:val="subscript"/>
        </w:rPr>
        <w:t>3</w:t>
      </w:r>
      <w:r w:rsidR="00306B2C" w:rsidRPr="00306B2C">
        <w:t xml:space="preserve"> and PM2.5. </w:t>
      </w:r>
      <w:r w:rsidR="00306B2C">
        <w:t>Plot of time-series of O</w:t>
      </w:r>
      <w:r w:rsidR="00306B2C" w:rsidRPr="00E328CF">
        <w:rPr>
          <w:vertAlign w:val="subscript"/>
        </w:rPr>
        <w:t>3</w:t>
      </w:r>
      <w:r w:rsidR="00306B2C">
        <w:t xml:space="preserve"> and PM</w:t>
      </w:r>
      <w:r w:rsidR="00306B2C" w:rsidRPr="00E328CF">
        <w:rPr>
          <w:vertAlign w:val="subscript"/>
        </w:rPr>
        <w:t xml:space="preserve">2.5 </w:t>
      </w:r>
      <w:r w:rsidR="00306B2C">
        <w:t>at selected monitors</w:t>
      </w:r>
      <w:r w:rsidR="00306B2C" w:rsidRPr="00306B2C">
        <w:t xml:space="preserve"> will </w:t>
      </w:r>
      <w:r w:rsidR="00306B2C">
        <w:t xml:space="preserve">aid in </w:t>
      </w:r>
      <w:r w:rsidR="00306B2C" w:rsidRPr="00306B2C">
        <w:t>identify days on which the model has high background levels.</w:t>
      </w:r>
      <w:r w:rsidR="00306B2C">
        <w:t xml:space="preserve"> Results of this simulation will also be useful for comparison with subsequent model simulations with anthropogenic emissions to assess the contribution of anthropogenic emissions to </w:t>
      </w:r>
      <w:r w:rsidR="00E328CF">
        <w:t>O</w:t>
      </w:r>
      <w:r w:rsidR="00E328CF" w:rsidRPr="00E328CF">
        <w:rPr>
          <w:vertAlign w:val="subscript"/>
        </w:rPr>
        <w:t>3</w:t>
      </w:r>
      <w:r w:rsidR="00306B2C">
        <w:t xml:space="preserve"> and PM2.5.</w:t>
      </w:r>
    </w:p>
    <w:p w14:paraId="01C55AB5" w14:textId="77777777" w:rsidR="005878C8" w:rsidRDefault="005878C8" w:rsidP="00736173">
      <w:pPr>
        <w:pStyle w:val="NoSpacing"/>
      </w:pPr>
    </w:p>
    <w:p w14:paraId="1312C6B9" w14:textId="4AC3997E" w:rsidR="00ED14B3" w:rsidRDefault="00736173" w:rsidP="00736173">
      <w:pPr>
        <w:pStyle w:val="NoSpacing"/>
      </w:pPr>
      <w:r>
        <w:t>If issu</w:t>
      </w:r>
      <w:r w:rsidR="00151BB7">
        <w:t>es are identified as part of the</w:t>
      </w:r>
      <w:r>
        <w:t xml:space="preserve"> operational evaluation, a more intensive evaluation of the ozone and PM</w:t>
      </w:r>
      <w:r w:rsidRPr="002D4060">
        <w:rPr>
          <w:vertAlign w:val="subscript"/>
        </w:rPr>
        <w:t>2.5</w:t>
      </w:r>
      <w:r>
        <w:rPr>
          <w:vertAlign w:val="subscript"/>
        </w:rPr>
        <w:t xml:space="preserve"> </w:t>
      </w:r>
      <w:r w:rsidR="00151BB7">
        <w:t xml:space="preserve">boundary </w:t>
      </w:r>
      <w:r>
        <w:t>contributions should be completed as part of a diagnostic evaluation. This evaluation will assist in determining whether days wit</w:t>
      </w:r>
      <w:r w:rsidR="00151BB7">
        <w:t xml:space="preserve">h large boundary </w:t>
      </w:r>
      <w:r>
        <w:t xml:space="preserve">contributions are a result of long-range/international transport, stratospheric intrusions, fires, or methane. Based on these results, a determination as to whether and what types of improvements in the global model are warranted. </w:t>
      </w:r>
      <w:r w:rsidR="00151BB7">
        <w:t xml:space="preserve">For model scenarios with questionable model performance on high boundary influence days, it may be useful to performing a diagnostic </w:t>
      </w:r>
      <w:r>
        <w:t xml:space="preserve">model simulation with </w:t>
      </w:r>
      <w:r w:rsidR="00151BB7">
        <w:t xml:space="preserve">boundary </w:t>
      </w:r>
      <w:r>
        <w:t xml:space="preserve">inputs </w:t>
      </w:r>
      <w:r w:rsidR="00151BB7">
        <w:t xml:space="preserve">derived </w:t>
      </w:r>
      <w:r>
        <w:t xml:space="preserve">from a different global model to see how the inputs </w:t>
      </w:r>
      <w:r w:rsidR="00151BB7">
        <w:t xml:space="preserve">would </w:t>
      </w:r>
      <w:r>
        <w:t>change the photochemical grid model performance.</w:t>
      </w:r>
    </w:p>
    <w:p w14:paraId="4DD54F82" w14:textId="77777777" w:rsidR="00151BB7" w:rsidRDefault="00151BB7" w:rsidP="00151BB7">
      <w:pPr>
        <w:pStyle w:val="NoSpacing"/>
        <w:rPr>
          <w:b/>
        </w:rPr>
      </w:pPr>
    </w:p>
    <w:p w14:paraId="0E33C771" w14:textId="0B581C60" w:rsidR="00151BB7" w:rsidRDefault="00151BB7" w:rsidP="00151BB7">
      <w:pPr>
        <w:pStyle w:val="NoSpacing"/>
      </w:pPr>
      <w:r>
        <w:rPr>
          <w:b/>
        </w:rPr>
        <w:t xml:space="preserve">ASSESSMENT OF </w:t>
      </w:r>
      <w:r w:rsidRPr="00662291">
        <w:rPr>
          <w:b/>
        </w:rPr>
        <w:t>EMISSIONS INVENTORY AND MODELING RESULT</w:t>
      </w:r>
      <w:r>
        <w:t>S</w:t>
      </w:r>
    </w:p>
    <w:p w14:paraId="7376F7CA" w14:textId="77777777" w:rsidR="00151BB7" w:rsidRDefault="00151BB7" w:rsidP="00151BB7">
      <w:pPr>
        <w:pStyle w:val="NoSpacing"/>
      </w:pPr>
    </w:p>
    <w:p w14:paraId="360CF400" w14:textId="52208797" w:rsidR="00151BB7" w:rsidRDefault="00151BB7" w:rsidP="00151BB7">
      <w:pPr>
        <w:pStyle w:val="NoSpacing"/>
      </w:pPr>
      <w:r>
        <w:t>Emissions inventories are compiled from a large number of different data sources, which can lead to many types of data problems. These problems can include errors in the values of emissions inventory data fields, such as the emissions amounts, incorrect codes, missing values that are required, or incorrect data such as facility names, stack heights, or latitude/longitude locations. Problems can also include errors that cause databases to not work, such as missing records in relational database tables, duplicate records, or incorrect formats. Therefore, it is important to perform quality assurance (QA) checks on the emissions inventories to identify and correct these errors before the data are used for the modeling activities. The purpose of QA is to ensure the development of a complete, accurate, and consistent emissions inventory. These QA activities generally include:</w:t>
      </w:r>
    </w:p>
    <w:p w14:paraId="4E4542CD" w14:textId="77777777" w:rsidR="00151BB7" w:rsidRDefault="00151BB7" w:rsidP="00151BB7">
      <w:pPr>
        <w:pStyle w:val="NoSpacing"/>
      </w:pPr>
    </w:p>
    <w:p w14:paraId="29F961F8" w14:textId="77777777" w:rsidR="00151BB7" w:rsidRDefault="00151BB7" w:rsidP="00817839">
      <w:pPr>
        <w:pStyle w:val="NoSpacing"/>
        <w:numPr>
          <w:ilvl w:val="0"/>
          <w:numId w:val="8"/>
        </w:numPr>
      </w:pPr>
      <w:r>
        <w:t>Checking data codes: Check inventory data codes to ensure they are valid codes.</w:t>
      </w:r>
    </w:p>
    <w:p w14:paraId="5F3022E3" w14:textId="77777777" w:rsidR="00151BB7" w:rsidRDefault="00151BB7" w:rsidP="00817839">
      <w:pPr>
        <w:pStyle w:val="NoSpacing"/>
        <w:numPr>
          <w:ilvl w:val="0"/>
          <w:numId w:val="8"/>
        </w:numPr>
      </w:pPr>
      <w:r>
        <w:t>Point versus nonpoint reconciliation: Ensure sources are identified properly, are not double-counted across point and nonpoint, and not missing emissions.</w:t>
      </w:r>
    </w:p>
    <w:p w14:paraId="54B7365B" w14:textId="7CC3764D" w:rsidR="00151BB7" w:rsidRDefault="00151BB7" w:rsidP="00817839">
      <w:pPr>
        <w:pStyle w:val="NoSpacing"/>
        <w:numPr>
          <w:ilvl w:val="0"/>
          <w:numId w:val="8"/>
        </w:numPr>
      </w:pPr>
      <w:r>
        <w:t>Rankings and percent differences techniques: Ranking emissions and calculating percent differences</w:t>
      </w:r>
      <w:r w:rsidR="005C6841">
        <w:t xml:space="preserve"> (with previous emissions estimates)</w:t>
      </w:r>
      <w:r>
        <w:t xml:space="preserve"> </w:t>
      </w:r>
      <w:r w:rsidR="00C1799C">
        <w:t xml:space="preserve">can be useful to identify </w:t>
      </w:r>
      <w:r>
        <w:t xml:space="preserve">errors in emissions values or other numeric inventory data fields, or at least in finding records that need further investigation. This analysis must be </w:t>
      </w:r>
      <w:r>
        <w:lastRenderedPageBreak/>
        <w:t>done one pollutant at a time. Large or unexpected differences can be investigated further to make sure that the differences have some reasonable explanation.</w:t>
      </w:r>
    </w:p>
    <w:p w14:paraId="13AD1D60" w14:textId="263BBE1B" w:rsidR="00151BB7" w:rsidRDefault="00151BB7" w:rsidP="00817839">
      <w:pPr>
        <w:pStyle w:val="NoSpacing"/>
        <w:numPr>
          <w:ilvl w:val="0"/>
          <w:numId w:val="8"/>
        </w:numPr>
      </w:pPr>
      <w:r>
        <w:t xml:space="preserve">Graphical displays: Mapping emissions values for individual SCCs, groups of SCCs, county level emissions, emissions differences among inventories can identify unexpected patterns in the data that could signal an error. </w:t>
      </w:r>
      <w:r w:rsidR="00C1799C">
        <w:t xml:space="preserve">These displays </w:t>
      </w:r>
      <w:r>
        <w:t>also identify pollutants that are expected from particular processes, and conversely, pollutants that are not expected from a particular process and need additional investigation.</w:t>
      </w:r>
    </w:p>
    <w:p w14:paraId="734C96F5" w14:textId="77777777" w:rsidR="00151BB7" w:rsidRDefault="00151BB7" w:rsidP="00817839">
      <w:pPr>
        <w:pStyle w:val="NoSpacing"/>
        <w:numPr>
          <w:ilvl w:val="0"/>
          <w:numId w:val="8"/>
        </w:numPr>
      </w:pPr>
      <w:r>
        <w:t xml:space="preserve">Comparisons among emissions inventories and regions:  Comparing old emissions, new emissions, region-by-region emissions, and the computed difference or percent difference side-by-side can reveal unexpected changes or patterns that could signal an error. </w:t>
      </w:r>
    </w:p>
    <w:p w14:paraId="5C481FDA" w14:textId="77777777" w:rsidR="00151BB7" w:rsidRDefault="00151BB7" w:rsidP="00151BB7">
      <w:pPr>
        <w:pStyle w:val="NoSpacing"/>
      </w:pPr>
    </w:p>
    <w:p w14:paraId="55FAC8EF" w14:textId="719E7270" w:rsidR="00151BB7" w:rsidRDefault="00151BB7" w:rsidP="00151BB7">
      <w:pPr>
        <w:pStyle w:val="NoSpacing"/>
      </w:pPr>
      <w:r>
        <w:t>The QA checks should be done on a pollutant-by-pollutant basis for pollutants important to the given analysis. In particular, the assessment should include analyzing NOx, VOCs, NH</w:t>
      </w:r>
      <w:r w:rsidRPr="00A86902">
        <w:rPr>
          <w:vertAlign w:val="subscript"/>
        </w:rPr>
        <w:t>3</w:t>
      </w:r>
      <w:r>
        <w:t>, CH</w:t>
      </w:r>
      <w:r w:rsidRPr="00A86902">
        <w:rPr>
          <w:vertAlign w:val="subscript"/>
        </w:rPr>
        <w:t>4</w:t>
      </w:r>
      <w:r>
        <w:t>, SO</w:t>
      </w:r>
      <w:r w:rsidRPr="00A86902">
        <w:rPr>
          <w:vertAlign w:val="subscript"/>
        </w:rPr>
        <w:t>2</w:t>
      </w:r>
      <w:r>
        <w:t>, and PM</w:t>
      </w:r>
      <w:r w:rsidRPr="00A35136">
        <w:rPr>
          <w:vertAlign w:val="subscript"/>
        </w:rPr>
        <w:t>2.5</w:t>
      </w:r>
      <w:r>
        <w:rPr>
          <w:vertAlign w:val="subscript"/>
        </w:rPr>
        <w:t xml:space="preserve"> </w:t>
      </w:r>
      <w:r>
        <w:t xml:space="preserve">for the </w:t>
      </w:r>
      <w:r w:rsidR="00DC5298">
        <w:t>source categories outlined in Table 1</w:t>
      </w:r>
      <w:r>
        <w:t xml:space="preserve">. In addition to utilizing the automated QA checks built into EPA’s emissions models, the </w:t>
      </w:r>
      <w:r w:rsidR="00DC5298">
        <w:t xml:space="preserve">recommended </w:t>
      </w:r>
      <w:r>
        <w:t xml:space="preserve">QA checks should be used to identify additional differences or outliers that may warrant further explorations and corrections. Examples of various </w:t>
      </w:r>
      <w:r w:rsidR="00DC5298">
        <w:t xml:space="preserve">recommended </w:t>
      </w:r>
      <w:r>
        <w:t>graphical and tabular displays are also included below.</w:t>
      </w:r>
    </w:p>
    <w:p w14:paraId="33EDE308" w14:textId="77777777" w:rsidR="00E328CF" w:rsidRDefault="00E328CF" w:rsidP="00151BB7">
      <w:pPr>
        <w:pStyle w:val="NoSpacing"/>
      </w:pPr>
    </w:p>
    <w:p w14:paraId="7EE5326D" w14:textId="77777777" w:rsidR="00DA2E00" w:rsidRPr="000E69A3" w:rsidRDefault="00DA2E00" w:rsidP="00DA2E00">
      <w:pPr>
        <w:pStyle w:val="NoSpacing"/>
        <w:rPr>
          <w:rFonts w:eastAsia="TT15Ct00" w:cs="TT15Ct00"/>
          <w:color w:val="000000" w:themeColor="text1"/>
          <w:u w:val="single"/>
        </w:rPr>
      </w:pPr>
      <w:r w:rsidRPr="000E69A3">
        <w:rPr>
          <w:rFonts w:eastAsia="TT15Ct00" w:cs="TT15Ct00"/>
          <w:color w:val="000000" w:themeColor="text1"/>
          <w:u w:val="single"/>
        </w:rPr>
        <w:t>Recommended analyses:</w:t>
      </w:r>
    </w:p>
    <w:p w14:paraId="39CC814D" w14:textId="77777777" w:rsidR="00DA2E00" w:rsidRDefault="00DA2E00" w:rsidP="00817839">
      <w:pPr>
        <w:pStyle w:val="NoSpacing"/>
        <w:numPr>
          <w:ilvl w:val="0"/>
          <w:numId w:val="22"/>
        </w:numPr>
      </w:pPr>
      <w:r>
        <w:t>Check inventory data codes to ensure they are valid codes.</w:t>
      </w:r>
    </w:p>
    <w:p w14:paraId="75892AA1" w14:textId="77777777" w:rsidR="00DA2E00" w:rsidRDefault="00DA2E00" w:rsidP="00817839">
      <w:pPr>
        <w:pStyle w:val="NoSpacing"/>
        <w:numPr>
          <w:ilvl w:val="1"/>
          <w:numId w:val="22"/>
        </w:numPr>
      </w:pPr>
      <w:r>
        <w:t>SMOKE Sector QA for each modeling sector:</w:t>
      </w:r>
    </w:p>
    <w:p w14:paraId="2A356384" w14:textId="77777777" w:rsidR="00DA2E00" w:rsidRDefault="00DA2E00" w:rsidP="00817839">
      <w:pPr>
        <w:pStyle w:val="NoSpacing"/>
        <w:numPr>
          <w:ilvl w:val="2"/>
          <w:numId w:val="22"/>
        </w:numPr>
      </w:pPr>
      <w:r>
        <w:t>Check SMOKE logs to make sure the correct inputs were used</w:t>
      </w:r>
    </w:p>
    <w:p w14:paraId="5D3790B3" w14:textId="77777777" w:rsidR="00DA2E00" w:rsidRDefault="00DA2E00" w:rsidP="00817839">
      <w:pPr>
        <w:pStyle w:val="NoSpacing"/>
        <w:numPr>
          <w:ilvl w:val="2"/>
          <w:numId w:val="22"/>
        </w:numPr>
      </w:pPr>
      <w:r>
        <w:t>Check that all output files were created and are the correct size</w:t>
      </w:r>
    </w:p>
    <w:p w14:paraId="37B70363" w14:textId="77777777" w:rsidR="00DA2E00" w:rsidRDefault="00DA2E00" w:rsidP="00817839">
      <w:pPr>
        <w:pStyle w:val="NoSpacing"/>
        <w:numPr>
          <w:ilvl w:val="2"/>
          <w:numId w:val="22"/>
        </w:numPr>
      </w:pPr>
      <w:r>
        <w:t>Use EPA’s "log analyzer" to make sure there are no errors or unusual warnings</w:t>
      </w:r>
    </w:p>
    <w:p w14:paraId="0309B713" w14:textId="77777777" w:rsidR="00DA2E00" w:rsidRDefault="00DA2E00" w:rsidP="00817839">
      <w:pPr>
        <w:pStyle w:val="NoSpacing"/>
        <w:numPr>
          <w:ilvl w:val="2"/>
          <w:numId w:val="22"/>
        </w:numPr>
      </w:pPr>
      <w:r>
        <w:t>Compare post-SMOKE annual totals with EMF inventory totals; usual tolerance is 1.0% or less</w:t>
      </w:r>
    </w:p>
    <w:p w14:paraId="26C0F9AB" w14:textId="77777777" w:rsidR="00DA2E00" w:rsidRDefault="00DA2E00" w:rsidP="00817839">
      <w:pPr>
        <w:pStyle w:val="NoSpacing"/>
        <w:numPr>
          <w:ilvl w:val="1"/>
          <w:numId w:val="22"/>
        </w:numPr>
      </w:pPr>
      <w:r>
        <w:t>SMOKE Merge QA:</w:t>
      </w:r>
    </w:p>
    <w:p w14:paraId="5436DD94" w14:textId="77777777" w:rsidR="00DA2E00" w:rsidRDefault="00DA2E00" w:rsidP="00817839">
      <w:pPr>
        <w:pStyle w:val="NoSpacing"/>
        <w:numPr>
          <w:ilvl w:val="2"/>
          <w:numId w:val="22"/>
        </w:numPr>
      </w:pPr>
      <w:r>
        <w:t>Check SMOKE logs to make sure the correct sectors and cases are used in the merge</w:t>
      </w:r>
    </w:p>
    <w:p w14:paraId="57DF5A0B" w14:textId="77777777" w:rsidR="00DA2E00" w:rsidRDefault="00DA2E00" w:rsidP="00817839">
      <w:pPr>
        <w:pStyle w:val="NoSpacing"/>
        <w:numPr>
          <w:ilvl w:val="2"/>
          <w:numId w:val="22"/>
        </w:numPr>
      </w:pPr>
      <w:r>
        <w:t>Calculate post-merge annual domain totals and compare to the sum of the sector annual reports, minus inline emissions totals</w:t>
      </w:r>
    </w:p>
    <w:p w14:paraId="2E8E4BB0" w14:textId="77777777" w:rsidR="00DA2E00" w:rsidRDefault="00DA2E00" w:rsidP="00817839">
      <w:pPr>
        <w:pStyle w:val="NoSpacing"/>
        <w:numPr>
          <w:ilvl w:val="2"/>
          <w:numId w:val="22"/>
        </w:numPr>
      </w:pPr>
      <w:r>
        <w:t>Check that all output files were created and are the correct size</w:t>
      </w:r>
    </w:p>
    <w:p w14:paraId="23FA63CC" w14:textId="77777777" w:rsidR="00DA2E00" w:rsidRDefault="00DA2E00" w:rsidP="00817839">
      <w:pPr>
        <w:pStyle w:val="ListParagraph"/>
        <w:numPr>
          <w:ilvl w:val="0"/>
          <w:numId w:val="22"/>
        </w:numPr>
      </w:pPr>
      <w:r w:rsidRPr="003D42F7">
        <w:t>Ensure point and nonpoint sources are identified properly, are not double-counted across point and nonpoint, and not missing emissions.</w:t>
      </w:r>
    </w:p>
    <w:p w14:paraId="57D3602D" w14:textId="00A806EB" w:rsidR="00DA2E00" w:rsidRPr="003D42F7" w:rsidRDefault="00DA2E00" w:rsidP="00817839">
      <w:pPr>
        <w:pStyle w:val="ListParagraph"/>
        <w:numPr>
          <w:ilvl w:val="0"/>
          <w:numId w:val="22"/>
        </w:numPr>
      </w:pPr>
      <w:r w:rsidRPr="003D42F7">
        <w:rPr>
          <w:sz w:val="23"/>
          <w:szCs w:val="23"/>
        </w:rPr>
        <w:t>Spatial plots with pie charts for each county of the various source category contributions by pollutant and region</w:t>
      </w:r>
      <w:r w:rsidR="00817839">
        <w:rPr>
          <w:rFonts w:eastAsia="TT15Ct00" w:cs="TT15Ct00"/>
          <w:color w:val="000000" w:themeColor="text1"/>
        </w:rPr>
        <w:t>.</w:t>
      </w:r>
    </w:p>
    <w:p w14:paraId="631D7ABC" w14:textId="47F272AD" w:rsidR="00DA2E00" w:rsidRPr="000E69A3" w:rsidRDefault="00DA2E00" w:rsidP="00817839">
      <w:pPr>
        <w:pStyle w:val="ListParagraph"/>
        <w:numPr>
          <w:ilvl w:val="0"/>
          <w:numId w:val="22"/>
        </w:numPr>
      </w:pPr>
      <w:r w:rsidRPr="003D42F7">
        <w:rPr>
          <w:sz w:val="23"/>
          <w:szCs w:val="23"/>
        </w:rPr>
        <w:t>Bar plots of source category contributions by county by pollutant</w:t>
      </w:r>
      <w:r w:rsidR="00817839">
        <w:rPr>
          <w:rFonts w:eastAsia="TT15Ct00" w:cs="TT15Ct00"/>
          <w:color w:val="000000" w:themeColor="text1"/>
        </w:rPr>
        <w:t>.</w:t>
      </w:r>
    </w:p>
    <w:p w14:paraId="7CFA56B5" w14:textId="39AF5E92" w:rsidR="00DA2E00" w:rsidRPr="000E69A3" w:rsidRDefault="00DA2E00" w:rsidP="00817839">
      <w:pPr>
        <w:pStyle w:val="ListParagraph"/>
        <w:numPr>
          <w:ilvl w:val="0"/>
          <w:numId w:val="22"/>
        </w:numPr>
      </w:pPr>
      <w:r w:rsidRPr="003D42F7">
        <w:rPr>
          <w:sz w:val="23"/>
          <w:szCs w:val="23"/>
        </w:rPr>
        <w:t>Tabulate the significant sources (SCC) contributing to each source category by pollutant and region</w:t>
      </w:r>
      <w:r w:rsidR="00817839">
        <w:rPr>
          <w:sz w:val="23"/>
          <w:szCs w:val="23"/>
        </w:rPr>
        <w:t>.</w:t>
      </w:r>
    </w:p>
    <w:p w14:paraId="2ADD6AD8" w14:textId="4C92D2FC" w:rsidR="00DA2E00" w:rsidRPr="000E69A3" w:rsidRDefault="00DA2E00" w:rsidP="00817839">
      <w:pPr>
        <w:pStyle w:val="ListParagraph"/>
        <w:numPr>
          <w:ilvl w:val="0"/>
          <w:numId w:val="22"/>
        </w:numPr>
      </w:pPr>
      <w:r w:rsidRPr="003D42F7">
        <w:rPr>
          <w:rFonts w:eastAsia="TT15Ct00" w:cs="TT15Ct00"/>
          <w:color w:val="000000" w:themeColor="text1"/>
        </w:rPr>
        <w:t>Pie Chart of Spatial, Temporal, and Chemical Allocations by source category by pollutant</w:t>
      </w:r>
      <w:r w:rsidR="00817839">
        <w:rPr>
          <w:rFonts w:eastAsia="TT15Ct00" w:cs="TT15Ct00"/>
          <w:color w:val="000000" w:themeColor="text1"/>
        </w:rPr>
        <w:t>.</w:t>
      </w:r>
    </w:p>
    <w:p w14:paraId="0B58BB83" w14:textId="77777777" w:rsidR="00DA2E00" w:rsidRDefault="00DA2E00" w:rsidP="00E328CF">
      <w:pPr>
        <w:pStyle w:val="ListParagraph"/>
        <w:spacing w:after="0"/>
        <w:rPr>
          <w:rFonts w:eastAsia="TT15Ct00" w:cs="TT15Ct00"/>
          <w:color w:val="000000" w:themeColor="text1"/>
        </w:rPr>
      </w:pPr>
    </w:p>
    <w:p w14:paraId="661E384D" w14:textId="77777777" w:rsidR="00DA2E00" w:rsidRPr="000E69A3" w:rsidRDefault="00DA2E00" w:rsidP="00DA2E00">
      <w:pPr>
        <w:spacing w:after="0"/>
        <w:rPr>
          <w:u w:val="single"/>
        </w:rPr>
      </w:pPr>
      <w:r w:rsidRPr="005631A2">
        <w:rPr>
          <w:u w:val="single"/>
        </w:rPr>
        <w:t>Additional analyses:</w:t>
      </w:r>
    </w:p>
    <w:p w14:paraId="3062C627" w14:textId="77777777" w:rsidR="00DA2E00" w:rsidRPr="003D42F7" w:rsidRDefault="00DA2E00" w:rsidP="00817839">
      <w:pPr>
        <w:pStyle w:val="ListParagraph"/>
        <w:numPr>
          <w:ilvl w:val="0"/>
          <w:numId w:val="24"/>
        </w:numPr>
      </w:pPr>
      <w:r w:rsidRPr="003D42F7">
        <w:rPr>
          <w:sz w:val="23"/>
          <w:szCs w:val="23"/>
        </w:rPr>
        <w:t>Bar, spatial, and pie plots of VOC Reactivity Analysis (RTOG/TOG) for various source category contributions by region</w:t>
      </w:r>
    </w:p>
    <w:p w14:paraId="58589A63" w14:textId="77777777" w:rsidR="00DA2E00" w:rsidRPr="003D42F7" w:rsidRDefault="00DA2E00" w:rsidP="00817839">
      <w:pPr>
        <w:pStyle w:val="ListParagraph"/>
        <w:numPr>
          <w:ilvl w:val="0"/>
          <w:numId w:val="24"/>
        </w:numPr>
      </w:pPr>
      <w:r w:rsidRPr="003D42F7">
        <w:rPr>
          <w:sz w:val="23"/>
          <w:szCs w:val="23"/>
        </w:rPr>
        <w:t>Plots and Tables of spatial and temporal allocations and chemical speciation.</w:t>
      </w:r>
    </w:p>
    <w:p w14:paraId="5A27A819" w14:textId="77777777" w:rsidR="00DA2E00" w:rsidRPr="003D42F7" w:rsidRDefault="00DA2E00" w:rsidP="00817839">
      <w:pPr>
        <w:pStyle w:val="ListParagraph"/>
        <w:numPr>
          <w:ilvl w:val="0"/>
          <w:numId w:val="24"/>
        </w:numPr>
      </w:pPr>
      <w:r w:rsidRPr="003D42F7">
        <w:rPr>
          <w:rFonts w:eastAsia="TT15Ct00" w:cs="TT15Ct00"/>
        </w:rPr>
        <w:t>Comparison to previous emissions modeling efforts to verify expected emissions changes by source category(s) and geographic area(s) of interest.</w:t>
      </w:r>
    </w:p>
    <w:p w14:paraId="4DEEDC1E" w14:textId="77777777" w:rsidR="00817839" w:rsidRPr="00817839" w:rsidRDefault="00DA2E00" w:rsidP="00817839">
      <w:pPr>
        <w:pStyle w:val="ListParagraph"/>
        <w:numPr>
          <w:ilvl w:val="1"/>
          <w:numId w:val="24"/>
        </w:numPr>
      </w:pPr>
      <w:r w:rsidRPr="003D42F7">
        <w:rPr>
          <w:sz w:val="23"/>
          <w:szCs w:val="23"/>
        </w:rPr>
        <w:t>Bar plots of annual emi</w:t>
      </w:r>
      <w:r>
        <w:rPr>
          <w:sz w:val="23"/>
          <w:szCs w:val="23"/>
        </w:rPr>
        <w:t xml:space="preserve">ssions contributions of </w:t>
      </w:r>
      <w:r w:rsidRPr="003D42F7">
        <w:rPr>
          <w:sz w:val="23"/>
          <w:szCs w:val="23"/>
        </w:rPr>
        <w:t xml:space="preserve">source categories by </w:t>
      </w:r>
      <w:r>
        <w:rPr>
          <w:sz w:val="23"/>
          <w:szCs w:val="23"/>
        </w:rPr>
        <w:t>pollutant and region</w:t>
      </w:r>
      <w:r w:rsidR="00817839">
        <w:rPr>
          <w:sz w:val="23"/>
          <w:szCs w:val="23"/>
        </w:rPr>
        <w:t>.</w:t>
      </w:r>
    </w:p>
    <w:p w14:paraId="4F346C6E" w14:textId="5F7F5CCA" w:rsidR="00DA2E00" w:rsidRPr="003D42F7" w:rsidRDefault="00DA2E00" w:rsidP="00817839">
      <w:pPr>
        <w:pStyle w:val="ListParagraph"/>
        <w:numPr>
          <w:ilvl w:val="1"/>
          <w:numId w:val="24"/>
        </w:numPr>
      </w:pPr>
      <w:r w:rsidRPr="00817839">
        <w:rPr>
          <w:sz w:val="23"/>
          <w:szCs w:val="23"/>
        </w:rPr>
        <w:t>Trends tables between years for various sectors and pollutants by region</w:t>
      </w:r>
      <w:r w:rsidR="00817839" w:rsidRPr="00817839">
        <w:rPr>
          <w:sz w:val="23"/>
          <w:szCs w:val="23"/>
        </w:rPr>
        <w:t>.</w:t>
      </w:r>
    </w:p>
    <w:p w14:paraId="2930A5A8" w14:textId="6C0F6E1F" w:rsidR="00DA2E00" w:rsidRPr="003D42F7" w:rsidRDefault="00DA2E00" w:rsidP="00817839">
      <w:pPr>
        <w:pStyle w:val="ListParagraph"/>
        <w:numPr>
          <w:ilvl w:val="1"/>
          <w:numId w:val="24"/>
        </w:numPr>
      </w:pPr>
      <w:r w:rsidRPr="003D42F7">
        <w:rPr>
          <w:sz w:val="23"/>
          <w:szCs w:val="23"/>
        </w:rPr>
        <w:lastRenderedPageBreak/>
        <w:t>Bar plots of emissions differences of the contributions of various source categories by state and pollutant</w:t>
      </w:r>
      <w:r w:rsidR="00817839">
        <w:rPr>
          <w:sz w:val="23"/>
          <w:szCs w:val="23"/>
        </w:rPr>
        <w:t>.</w:t>
      </w:r>
    </w:p>
    <w:p w14:paraId="4A4FF4DF" w14:textId="32CFE19F" w:rsidR="00DA2E00" w:rsidRPr="003D42F7" w:rsidRDefault="00DA2E00" w:rsidP="00817839">
      <w:pPr>
        <w:pStyle w:val="ListParagraph"/>
        <w:numPr>
          <w:ilvl w:val="1"/>
          <w:numId w:val="24"/>
        </w:numPr>
      </w:pPr>
      <w:r w:rsidRPr="003D42F7">
        <w:rPr>
          <w:sz w:val="23"/>
          <w:szCs w:val="23"/>
        </w:rPr>
        <w:t>Bar plots of changes from 2008 to 2011 NEI for various source categories and pollutants</w:t>
      </w:r>
      <w:r w:rsidR="00817839">
        <w:rPr>
          <w:sz w:val="23"/>
          <w:szCs w:val="23"/>
        </w:rPr>
        <w:t>.</w:t>
      </w:r>
    </w:p>
    <w:p w14:paraId="7871FCDA" w14:textId="37B4EC09" w:rsidR="00DA2E00" w:rsidRDefault="00DA2E00" w:rsidP="00817839">
      <w:pPr>
        <w:pStyle w:val="ListParagraph"/>
        <w:numPr>
          <w:ilvl w:val="1"/>
          <w:numId w:val="24"/>
        </w:numPr>
      </w:pPr>
      <w:r>
        <w:t>Side-by-side pie charts of source category contributions by pollutant and region</w:t>
      </w:r>
      <w:r w:rsidR="00817839">
        <w:t>.</w:t>
      </w:r>
    </w:p>
    <w:p w14:paraId="6C2F0773" w14:textId="77777777" w:rsidR="00764C2B" w:rsidRPr="003D42F7" w:rsidRDefault="00764C2B" w:rsidP="00764C2B">
      <w:pPr>
        <w:pStyle w:val="ListParagraph"/>
        <w:ind w:left="1440"/>
      </w:pPr>
    </w:p>
    <w:p w14:paraId="66E1E32E" w14:textId="54C2056D" w:rsidR="00764C2B" w:rsidRPr="003D42F7" w:rsidRDefault="00764C2B" w:rsidP="00E328CF">
      <w:pPr>
        <w:spacing w:after="0"/>
        <w:rPr>
          <w:b/>
        </w:rPr>
      </w:pPr>
      <w:r w:rsidRPr="003D42F7">
        <w:rPr>
          <w:b/>
        </w:rPr>
        <w:t>Table 1.  Source categories for emissions assessment</w:t>
      </w:r>
    </w:p>
    <w:tbl>
      <w:tblPr>
        <w:tblStyle w:val="TableGrid"/>
        <w:tblW w:w="0" w:type="auto"/>
        <w:tblLook w:val="04A0" w:firstRow="1" w:lastRow="0" w:firstColumn="1" w:lastColumn="0" w:noHBand="0" w:noVBand="1"/>
      </w:tblPr>
      <w:tblGrid>
        <w:gridCol w:w="2245"/>
        <w:gridCol w:w="7825"/>
      </w:tblGrid>
      <w:tr w:rsidR="00764C2B" w14:paraId="6BE52271" w14:textId="77777777" w:rsidTr="00C32D0D">
        <w:tc>
          <w:tcPr>
            <w:tcW w:w="2245" w:type="dxa"/>
          </w:tcPr>
          <w:p w14:paraId="02D53913" w14:textId="77777777" w:rsidR="00764C2B" w:rsidRPr="003D42F7" w:rsidRDefault="00764C2B" w:rsidP="00C32D0D">
            <w:pPr>
              <w:pStyle w:val="NoSpacing"/>
              <w:rPr>
                <w:b/>
                <w:sz w:val="22"/>
                <w:szCs w:val="22"/>
              </w:rPr>
            </w:pPr>
            <w:r w:rsidRPr="003D42F7">
              <w:rPr>
                <w:b/>
                <w:sz w:val="22"/>
                <w:szCs w:val="22"/>
              </w:rPr>
              <w:t>Source category</w:t>
            </w:r>
          </w:p>
        </w:tc>
        <w:tc>
          <w:tcPr>
            <w:tcW w:w="7825" w:type="dxa"/>
          </w:tcPr>
          <w:p w14:paraId="48FB4DD1" w14:textId="77777777" w:rsidR="00764C2B" w:rsidRPr="003D42F7" w:rsidRDefault="00764C2B" w:rsidP="00C32D0D">
            <w:pPr>
              <w:pStyle w:val="NoSpacing"/>
              <w:rPr>
                <w:b/>
                <w:sz w:val="22"/>
                <w:szCs w:val="22"/>
              </w:rPr>
            </w:pPr>
            <w:r w:rsidRPr="003D42F7">
              <w:rPr>
                <w:b/>
                <w:sz w:val="22"/>
                <w:szCs w:val="22"/>
              </w:rPr>
              <w:t>Category description</w:t>
            </w:r>
          </w:p>
        </w:tc>
      </w:tr>
      <w:tr w:rsidR="00764C2B" w14:paraId="4C251951" w14:textId="77777777" w:rsidTr="00C32D0D">
        <w:tc>
          <w:tcPr>
            <w:tcW w:w="2245" w:type="dxa"/>
          </w:tcPr>
          <w:p w14:paraId="50673FE3" w14:textId="77777777" w:rsidR="00764C2B" w:rsidRPr="003D42F7" w:rsidRDefault="00764C2B" w:rsidP="00C32D0D">
            <w:pPr>
              <w:pStyle w:val="NoSpacing"/>
              <w:rPr>
                <w:sz w:val="22"/>
                <w:szCs w:val="22"/>
              </w:rPr>
            </w:pPr>
            <w:r w:rsidRPr="003D42F7">
              <w:rPr>
                <w:sz w:val="22"/>
                <w:szCs w:val="22"/>
              </w:rPr>
              <w:t>Point sources</w:t>
            </w:r>
          </w:p>
        </w:tc>
        <w:tc>
          <w:tcPr>
            <w:tcW w:w="7825" w:type="dxa"/>
          </w:tcPr>
          <w:p w14:paraId="240AC49A" w14:textId="77777777" w:rsidR="00764C2B" w:rsidRPr="003D42F7" w:rsidRDefault="00764C2B" w:rsidP="00C32D0D">
            <w:pPr>
              <w:pStyle w:val="NoSpacing"/>
              <w:rPr>
                <w:sz w:val="22"/>
                <w:szCs w:val="22"/>
              </w:rPr>
            </w:pPr>
            <w:r w:rsidRPr="003D42F7">
              <w:rPr>
                <w:sz w:val="22"/>
                <w:szCs w:val="22"/>
              </w:rPr>
              <w:t>Emissions sources that are attributed to specific facilities and emissions release points within those facilities.</w:t>
            </w:r>
          </w:p>
        </w:tc>
      </w:tr>
      <w:tr w:rsidR="00764C2B" w14:paraId="2547859E" w14:textId="77777777" w:rsidTr="00C32D0D">
        <w:tc>
          <w:tcPr>
            <w:tcW w:w="2245" w:type="dxa"/>
          </w:tcPr>
          <w:p w14:paraId="46491C4E" w14:textId="77777777" w:rsidR="00764C2B" w:rsidRPr="003D42F7" w:rsidRDefault="00764C2B" w:rsidP="00C32D0D">
            <w:pPr>
              <w:pStyle w:val="NoSpacing"/>
              <w:rPr>
                <w:sz w:val="22"/>
                <w:szCs w:val="22"/>
              </w:rPr>
            </w:pPr>
            <w:r w:rsidRPr="003D42F7">
              <w:rPr>
                <w:sz w:val="22"/>
                <w:szCs w:val="22"/>
              </w:rPr>
              <w:t>Nonpoint sources</w:t>
            </w:r>
          </w:p>
        </w:tc>
        <w:tc>
          <w:tcPr>
            <w:tcW w:w="7825" w:type="dxa"/>
          </w:tcPr>
          <w:p w14:paraId="7DCFBB0B" w14:textId="77777777" w:rsidR="00764C2B" w:rsidRPr="003D42F7" w:rsidRDefault="00764C2B" w:rsidP="00C32D0D">
            <w:pPr>
              <w:pStyle w:val="NoSpacing"/>
              <w:rPr>
                <w:sz w:val="22"/>
                <w:szCs w:val="22"/>
              </w:rPr>
            </w:pPr>
            <w:r w:rsidRPr="003D42F7">
              <w:rPr>
                <w:sz w:val="22"/>
                <w:szCs w:val="22"/>
              </w:rPr>
              <w:t>Also called “area sources” or sources of emissions that have not been inventoried as specific point sources.</w:t>
            </w:r>
          </w:p>
        </w:tc>
      </w:tr>
      <w:tr w:rsidR="00764C2B" w14:paraId="1A713D50" w14:textId="77777777" w:rsidTr="00C32D0D">
        <w:tc>
          <w:tcPr>
            <w:tcW w:w="2245" w:type="dxa"/>
          </w:tcPr>
          <w:p w14:paraId="43DDB22D" w14:textId="77777777" w:rsidR="00764C2B" w:rsidRPr="003D42F7" w:rsidRDefault="00764C2B" w:rsidP="00C32D0D">
            <w:pPr>
              <w:pStyle w:val="NoSpacing"/>
              <w:rPr>
                <w:sz w:val="22"/>
                <w:szCs w:val="22"/>
              </w:rPr>
            </w:pPr>
            <w:r w:rsidRPr="003D42F7">
              <w:rPr>
                <w:sz w:val="22"/>
                <w:szCs w:val="22"/>
              </w:rPr>
              <w:t>On-road mobile sources</w:t>
            </w:r>
          </w:p>
        </w:tc>
        <w:tc>
          <w:tcPr>
            <w:tcW w:w="7825" w:type="dxa"/>
          </w:tcPr>
          <w:p w14:paraId="2B092F88" w14:textId="77777777" w:rsidR="00764C2B" w:rsidRPr="003D42F7" w:rsidRDefault="00764C2B" w:rsidP="00C32D0D">
            <w:pPr>
              <w:pStyle w:val="NoSpacing"/>
              <w:rPr>
                <w:sz w:val="22"/>
                <w:szCs w:val="22"/>
              </w:rPr>
            </w:pPr>
            <w:r w:rsidRPr="003D42F7">
              <w:rPr>
                <w:sz w:val="22"/>
                <w:szCs w:val="22"/>
              </w:rPr>
              <w:t>Emissions from on-road vehicles are the result of several emission processes, including the combustion of fuel while vehicles are starting, idling, and moving, evaporation of fuel from the fuel system and during refueling, and from brake wear and tire wear.</w:t>
            </w:r>
          </w:p>
        </w:tc>
      </w:tr>
      <w:tr w:rsidR="00764C2B" w14:paraId="68132D01" w14:textId="77777777" w:rsidTr="00C32D0D">
        <w:tc>
          <w:tcPr>
            <w:tcW w:w="2245" w:type="dxa"/>
          </w:tcPr>
          <w:p w14:paraId="0549F5CA" w14:textId="77777777" w:rsidR="00764C2B" w:rsidRPr="003D42F7" w:rsidRDefault="00764C2B" w:rsidP="00C32D0D">
            <w:pPr>
              <w:pStyle w:val="NoSpacing"/>
              <w:rPr>
                <w:sz w:val="22"/>
                <w:szCs w:val="22"/>
              </w:rPr>
            </w:pPr>
            <w:r w:rsidRPr="003D42F7">
              <w:rPr>
                <w:sz w:val="22"/>
                <w:szCs w:val="22"/>
              </w:rPr>
              <w:t>Non-road mobile sources</w:t>
            </w:r>
          </w:p>
        </w:tc>
        <w:tc>
          <w:tcPr>
            <w:tcW w:w="7825" w:type="dxa"/>
          </w:tcPr>
          <w:p w14:paraId="0167040E" w14:textId="77777777" w:rsidR="00764C2B" w:rsidRPr="003D42F7" w:rsidRDefault="00764C2B" w:rsidP="00C32D0D">
            <w:pPr>
              <w:pStyle w:val="NoSpacing"/>
              <w:rPr>
                <w:sz w:val="22"/>
                <w:szCs w:val="22"/>
              </w:rPr>
            </w:pPr>
            <w:r w:rsidRPr="003D42F7">
              <w:rPr>
                <w:sz w:val="22"/>
                <w:szCs w:val="22"/>
              </w:rPr>
              <w:t>Emissions resulting from the use of fuel in a diverse collection of vehicles and equipment, and the EPA’s NONROAD emissions model estimates these emissions. Also includes emissions from Commercial Marine Vessels, Locomotives, and Aircraft.</w:t>
            </w:r>
          </w:p>
        </w:tc>
      </w:tr>
      <w:tr w:rsidR="00764C2B" w14:paraId="049805B5" w14:textId="77777777" w:rsidTr="00C32D0D">
        <w:tc>
          <w:tcPr>
            <w:tcW w:w="2245" w:type="dxa"/>
          </w:tcPr>
          <w:p w14:paraId="42B267BD" w14:textId="77777777" w:rsidR="00764C2B" w:rsidRPr="003D42F7" w:rsidRDefault="00764C2B" w:rsidP="00C32D0D">
            <w:pPr>
              <w:pStyle w:val="NoSpacing"/>
              <w:rPr>
                <w:sz w:val="22"/>
                <w:szCs w:val="22"/>
              </w:rPr>
            </w:pPr>
            <w:r w:rsidRPr="003D42F7">
              <w:rPr>
                <w:sz w:val="22"/>
                <w:szCs w:val="22"/>
              </w:rPr>
              <w:t>Biogenic sources</w:t>
            </w:r>
          </w:p>
        </w:tc>
        <w:tc>
          <w:tcPr>
            <w:tcW w:w="7825" w:type="dxa"/>
          </w:tcPr>
          <w:p w14:paraId="5142A3F0" w14:textId="77777777" w:rsidR="00764C2B" w:rsidRPr="003D42F7" w:rsidRDefault="00764C2B" w:rsidP="00C32D0D">
            <w:pPr>
              <w:pStyle w:val="NoSpacing"/>
              <w:rPr>
                <w:sz w:val="22"/>
                <w:szCs w:val="22"/>
              </w:rPr>
            </w:pPr>
            <w:r w:rsidRPr="003D42F7">
              <w:rPr>
                <w:sz w:val="22"/>
                <w:szCs w:val="22"/>
              </w:rPr>
              <w:t>Subset of natural emissions sources, including vegetation (i.e., forests and agriculture) and microbial activity in the soil.</w:t>
            </w:r>
          </w:p>
        </w:tc>
      </w:tr>
      <w:tr w:rsidR="00764C2B" w14:paraId="3EF22574" w14:textId="77777777" w:rsidTr="00C32D0D">
        <w:tc>
          <w:tcPr>
            <w:tcW w:w="2245" w:type="dxa"/>
          </w:tcPr>
          <w:p w14:paraId="571FAA39" w14:textId="77777777" w:rsidR="00764C2B" w:rsidRPr="003D42F7" w:rsidRDefault="00764C2B" w:rsidP="00C32D0D">
            <w:pPr>
              <w:pStyle w:val="NoSpacing"/>
              <w:rPr>
                <w:sz w:val="22"/>
                <w:szCs w:val="22"/>
              </w:rPr>
            </w:pPr>
            <w:r w:rsidRPr="003D42F7">
              <w:rPr>
                <w:sz w:val="22"/>
                <w:szCs w:val="22"/>
              </w:rPr>
              <w:t>Geogenic and other natural sources</w:t>
            </w:r>
          </w:p>
        </w:tc>
        <w:tc>
          <w:tcPr>
            <w:tcW w:w="7825" w:type="dxa"/>
          </w:tcPr>
          <w:p w14:paraId="74D232C2" w14:textId="77777777" w:rsidR="00764C2B" w:rsidRPr="003D42F7" w:rsidRDefault="00764C2B" w:rsidP="00C32D0D">
            <w:pPr>
              <w:pStyle w:val="NoSpacing"/>
              <w:rPr>
                <w:sz w:val="22"/>
                <w:szCs w:val="22"/>
              </w:rPr>
            </w:pPr>
            <w:r w:rsidRPr="003D42F7">
              <w:rPr>
                <w:sz w:val="22"/>
                <w:szCs w:val="22"/>
              </w:rPr>
              <w:t>Emissions resulting from oil or natural gas seeps, soil wind erosion, sea salt spray, lightning, volcanoes and fumaroles (i.e., vapor or gas vents in a volcanic region).</w:t>
            </w:r>
          </w:p>
        </w:tc>
      </w:tr>
      <w:tr w:rsidR="00764C2B" w14:paraId="6B97A608" w14:textId="77777777" w:rsidTr="00C32D0D">
        <w:tc>
          <w:tcPr>
            <w:tcW w:w="2245" w:type="dxa"/>
          </w:tcPr>
          <w:p w14:paraId="6A93990C" w14:textId="77777777" w:rsidR="00764C2B" w:rsidRPr="003D42F7" w:rsidRDefault="00764C2B" w:rsidP="00C32D0D">
            <w:pPr>
              <w:pStyle w:val="NoSpacing"/>
              <w:rPr>
                <w:sz w:val="22"/>
                <w:szCs w:val="22"/>
              </w:rPr>
            </w:pPr>
            <w:r w:rsidRPr="003D42F7">
              <w:rPr>
                <w:sz w:val="22"/>
                <w:szCs w:val="22"/>
              </w:rPr>
              <w:t>Wildland fires</w:t>
            </w:r>
          </w:p>
        </w:tc>
        <w:tc>
          <w:tcPr>
            <w:tcW w:w="7825" w:type="dxa"/>
          </w:tcPr>
          <w:p w14:paraId="3B634D42" w14:textId="77777777" w:rsidR="00764C2B" w:rsidRPr="003D42F7" w:rsidRDefault="00764C2B" w:rsidP="00C32D0D">
            <w:pPr>
              <w:pStyle w:val="NoSpacing"/>
              <w:rPr>
                <w:sz w:val="22"/>
                <w:szCs w:val="22"/>
              </w:rPr>
            </w:pPr>
            <w:r w:rsidRPr="003D42F7">
              <w:rPr>
                <w:sz w:val="22"/>
                <w:szCs w:val="22"/>
              </w:rPr>
              <w:t>Emissions from fires.</w:t>
            </w:r>
          </w:p>
        </w:tc>
      </w:tr>
      <w:tr w:rsidR="00764C2B" w14:paraId="0E79A802" w14:textId="77777777" w:rsidTr="00C32D0D">
        <w:tc>
          <w:tcPr>
            <w:tcW w:w="2245" w:type="dxa"/>
          </w:tcPr>
          <w:p w14:paraId="33C95E91" w14:textId="77777777" w:rsidR="00764C2B" w:rsidRPr="003D42F7" w:rsidRDefault="00764C2B" w:rsidP="00C32D0D">
            <w:pPr>
              <w:pStyle w:val="NoSpacing"/>
              <w:rPr>
                <w:sz w:val="22"/>
                <w:szCs w:val="22"/>
              </w:rPr>
            </w:pPr>
            <w:r w:rsidRPr="003D42F7">
              <w:rPr>
                <w:sz w:val="22"/>
                <w:szCs w:val="22"/>
              </w:rPr>
              <w:t>Canadian and Mexican emissions</w:t>
            </w:r>
          </w:p>
        </w:tc>
        <w:tc>
          <w:tcPr>
            <w:tcW w:w="7825" w:type="dxa"/>
          </w:tcPr>
          <w:p w14:paraId="4F3DBC9D" w14:textId="77777777" w:rsidR="00764C2B" w:rsidRPr="003D42F7" w:rsidRDefault="00764C2B" w:rsidP="00C32D0D">
            <w:pPr>
              <w:pStyle w:val="NoSpacing"/>
              <w:rPr>
                <w:sz w:val="22"/>
                <w:szCs w:val="22"/>
              </w:rPr>
            </w:pPr>
            <w:r w:rsidRPr="003D42F7">
              <w:rPr>
                <w:sz w:val="22"/>
                <w:szCs w:val="22"/>
              </w:rPr>
              <w:t>Emissions from in-domain portions of Canada or Mexico</w:t>
            </w:r>
          </w:p>
        </w:tc>
      </w:tr>
    </w:tbl>
    <w:p w14:paraId="46501FA9" w14:textId="77777777" w:rsidR="000E69A3" w:rsidRDefault="000E69A3" w:rsidP="00151BB7">
      <w:pPr>
        <w:pStyle w:val="NoSpacing"/>
      </w:pPr>
    </w:p>
    <w:p w14:paraId="14D73B9C" w14:textId="77777777" w:rsidR="00817839" w:rsidRDefault="00817839" w:rsidP="00764C2B">
      <w:pPr>
        <w:pStyle w:val="NoSpacing"/>
        <w:rPr>
          <w:b/>
        </w:rPr>
      </w:pPr>
    </w:p>
    <w:p w14:paraId="6A4008FB" w14:textId="77777777" w:rsidR="00764C2B" w:rsidRDefault="00764C2B" w:rsidP="00764C2B">
      <w:pPr>
        <w:pStyle w:val="NoSpacing"/>
        <w:rPr>
          <w:b/>
        </w:rPr>
      </w:pPr>
      <w:r>
        <w:rPr>
          <w:b/>
        </w:rPr>
        <w:t xml:space="preserve">EVALUATION OF </w:t>
      </w:r>
      <w:r w:rsidRPr="00F33335">
        <w:rPr>
          <w:b/>
        </w:rPr>
        <w:t>METEOROLOGICAL MODELING RESULTS</w:t>
      </w:r>
    </w:p>
    <w:p w14:paraId="35A56A6A" w14:textId="77777777" w:rsidR="00764C2B" w:rsidRDefault="00764C2B" w:rsidP="00764C2B">
      <w:pPr>
        <w:pStyle w:val="NoSpacing"/>
        <w:rPr>
          <w:b/>
        </w:rPr>
      </w:pPr>
    </w:p>
    <w:p w14:paraId="25F02732" w14:textId="5F1F910C" w:rsidR="00764C2B" w:rsidRDefault="00764C2B" w:rsidP="00764C2B">
      <w:pPr>
        <w:autoSpaceDE w:val="0"/>
        <w:autoSpaceDN w:val="0"/>
        <w:adjustRightInd w:val="0"/>
        <w:spacing w:after="0" w:line="240" w:lineRule="auto"/>
        <w:rPr>
          <w:rFonts w:eastAsia="TT15Ct00" w:cs="TT15Ct00"/>
        </w:rPr>
      </w:pPr>
      <w:r>
        <w:rPr>
          <w:rFonts w:eastAsia="TT15Ct00" w:cs="TT15Ct00"/>
        </w:rPr>
        <w:t>T</w:t>
      </w:r>
      <w:r w:rsidRPr="001C2AF0">
        <w:rPr>
          <w:rFonts w:eastAsia="TT15Ct00" w:cs="TT15Ct00"/>
        </w:rPr>
        <w:t>he objective of this</w:t>
      </w:r>
      <w:r>
        <w:rPr>
          <w:rFonts w:eastAsia="TT15Ct00" w:cs="TT15Ct00"/>
        </w:rPr>
        <w:t xml:space="preserve"> assessment</w:t>
      </w:r>
      <w:r w:rsidRPr="001C2AF0">
        <w:rPr>
          <w:rFonts w:eastAsia="TT15Ct00" w:cs="TT15Ct00"/>
        </w:rPr>
        <w:t xml:space="preserve"> should be to determine if the meteorological model output</w:t>
      </w:r>
      <w:r>
        <w:rPr>
          <w:rFonts w:eastAsia="TT15Ct00" w:cs="TT15Ct00"/>
        </w:rPr>
        <w:t xml:space="preserve"> </w:t>
      </w:r>
      <w:r w:rsidRPr="001C2AF0">
        <w:rPr>
          <w:rFonts w:eastAsia="TT15Ct00" w:cs="TT15Ct00"/>
        </w:rPr>
        <w:t>fields represent a reasonable approximation of the actual meteorology that occurred during the</w:t>
      </w:r>
      <w:r>
        <w:rPr>
          <w:rFonts w:eastAsia="TT15Ct00" w:cs="TT15Ct00"/>
        </w:rPr>
        <w:t xml:space="preserve"> </w:t>
      </w:r>
      <w:r w:rsidRPr="001C2AF0">
        <w:rPr>
          <w:rFonts w:eastAsia="TT15Ct00" w:cs="TT15Ct00"/>
        </w:rPr>
        <w:t>modeling period</w:t>
      </w:r>
      <w:r>
        <w:rPr>
          <w:rFonts w:eastAsia="TT15Ct00" w:cs="TT15Ct00"/>
        </w:rPr>
        <w:t xml:space="preserve">. This includes the identification of model </w:t>
      </w:r>
      <w:r w:rsidRPr="001C2AF0">
        <w:rPr>
          <w:rFonts w:eastAsia="TT15Ct00" w:cs="TT15Ct00"/>
        </w:rPr>
        <w:t>biases and errors in order</w:t>
      </w:r>
      <w:r>
        <w:rPr>
          <w:rFonts w:eastAsia="TT15Ct00" w:cs="TT15Ct00"/>
        </w:rPr>
        <w:t xml:space="preserve"> </w:t>
      </w:r>
      <w:r w:rsidRPr="001C2AF0">
        <w:rPr>
          <w:rFonts w:eastAsia="TT15Ct00" w:cs="TT15Ct00"/>
        </w:rPr>
        <w:t>to allow for a downstream assessment of how the air quality modeling results</w:t>
      </w:r>
      <w:r>
        <w:rPr>
          <w:rFonts w:eastAsia="TT15Ct00" w:cs="TT15Ct00"/>
        </w:rPr>
        <w:t xml:space="preserve"> may be impacted by the </w:t>
      </w:r>
      <w:r w:rsidRPr="001C2AF0">
        <w:rPr>
          <w:rFonts w:eastAsia="TT15Ct00" w:cs="TT15Ct00"/>
        </w:rPr>
        <w:t xml:space="preserve">meteorological </w:t>
      </w:r>
      <w:r>
        <w:rPr>
          <w:rFonts w:eastAsia="TT15Ct00" w:cs="TT15Ct00"/>
        </w:rPr>
        <w:t>inputs</w:t>
      </w:r>
      <w:r w:rsidRPr="001C2AF0">
        <w:rPr>
          <w:rFonts w:eastAsia="TT15Ct00" w:cs="TT15Ct00"/>
        </w:rPr>
        <w:t>. T</w:t>
      </w:r>
      <w:r>
        <w:rPr>
          <w:rFonts w:eastAsia="TT15Ct00" w:cs="TT15Ct00"/>
        </w:rPr>
        <w:t xml:space="preserve">herefore, we recommend statistical </w:t>
      </w:r>
      <w:r w:rsidRPr="001C2AF0">
        <w:rPr>
          <w:rFonts w:eastAsia="TT15Ct00" w:cs="TT15Ct00"/>
        </w:rPr>
        <w:t>and graphical</w:t>
      </w:r>
      <w:r>
        <w:rPr>
          <w:rFonts w:eastAsia="TT15Ct00" w:cs="TT15Ct00"/>
        </w:rPr>
        <w:t xml:space="preserve"> </w:t>
      </w:r>
      <w:r w:rsidRPr="001C2AF0">
        <w:rPr>
          <w:rFonts w:eastAsia="TT15Ct00" w:cs="TT15Ct00"/>
        </w:rPr>
        <w:t>comparisons</w:t>
      </w:r>
      <w:r>
        <w:rPr>
          <w:rFonts w:eastAsia="TT15Ct00" w:cs="TT15Ct00"/>
        </w:rPr>
        <w:t xml:space="preserve"> that are partitioned into meaningful subsets,</w:t>
      </w:r>
      <w:r w:rsidRPr="001C2AF0">
        <w:rPr>
          <w:rFonts w:eastAsia="TT15Ct00" w:cs="TT15Ct00"/>
        </w:rPr>
        <w:t xml:space="preserve"> such as </w:t>
      </w:r>
      <w:r>
        <w:rPr>
          <w:rFonts w:eastAsia="TT15Ct00" w:cs="TT15Ct00"/>
        </w:rPr>
        <w:t xml:space="preserve">by observational site, </w:t>
      </w:r>
      <w:r w:rsidRPr="001C2AF0">
        <w:rPr>
          <w:rFonts w:eastAsia="TT15Ct00" w:cs="TT15Ct00"/>
        </w:rPr>
        <w:t>geographic sub</w:t>
      </w:r>
      <w:r>
        <w:rPr>
          <w:rFonts w:eastAsia="TT15Ct00" w:cs="TT15Ct00"/>
        </w:rPr>
        <w:t>-</w:t>
      </w:r>
      <w:r w:rsidRPr="001C2AF0">
        <w:rPr>
          <w:rFonts w:eastAsia="TT15Ct00" w:cs="TT15Ct00"/>
        </w:rPr>
        <w:t>regions</w:t>
      </w:r>
      <w:r>
        <w:rPr>
          <w:rFonts w:eastAsia="TT15Ct00" w:cs="TT15Ct00"/>
        </w:rPr>
        <w:t>,</w:t>
      </w:r>
      <w:r w:rsidRPr="001C2AF0">
        <w:rPr>
          <w:rFonts w:eastAsia="TT15Ct00" w:cs="TT15Ct00"/>
        </w:rPr>
        <w:t xml:space="preserve"> and </w:t>
      </w:r>
      <w:r>
        <w:rPr>
          <w:rFonts w:eastAsia="TT15Ct00" w:cs="TT15Ct00"/>
        </w:rPr>
        <w:t>daily/</w:t>
      </w:r>
      <w:r w:rsidRPr="001C2AF0">
        <w:rPr>
          <w:rFonts w:eastAsia="TT15Ct00" w:cs="TT15Ct00"/>
        </w:rPr>
        <w:t>month</w:t>
      </w:r>
      <w:r>
        <w:rPr>
          <w:rFonts w:eastAsia="TT15Ct00" w:cs="TT15Ct00"/>
        </w:rPr>
        <w:t>ly</w:t>
      </w:r>
      <w:r w:rsidRPr="001C2AF0">
        <w:rPr>
          <w:rFonts w:eastAsia="TT15Ct00" w:cs="TT15Ct00"/>
        </w:rPr>
        <w:t>/season</w:t>
      </w:r>
      <w:r>
        <w:rPr>
          <w:rFonts w:eastAsia="TT15Ct00" w:cs="TT15Ct00"/>
        </w:rPr>
        <w:t>al</w:t>
      </w:r>
      <w:r w:rsidR="005C6841">
        <w:rPr>
          <w:rFonts w:eastAsia="TT15Ct00" w:cs="TT15Ct00"/>
        </w:rPr>
        <w:t xml:space="preserve"> periods</w:t>
      </w:r>
      <w:r>
        <w:rPr>
          <w:rFonts w:eastAsia="TT15Ct00" w:cs="TT15Ct00"/>
        </w:rPr>
        <w:t>,</w:t>
      </w:r>
      <w:r w:rsidRPr="001C2AF0">
        <w:rPr>
          <w:rFonts w:eastAsia="TT15Ct00" w:cs="TT15Ct00"/>
        </w:rPr>
        <w:t xml:space="preserve"> to allow for a more</w:t>
      </w:r>
      <w:r>
        <w:rPr>
          <w:rFonts w:eastAsia="TT15Ct00" w:cs="TT15Ct00"/>
        </w:rPr>
        <w:t xml:space="preserve"> </w:t>
      </w:r>
      <w:r w:rsidRPr="001C2AF0">
        <w:rPr>
          <w:rFonts w:eastAsia="TT15Ct00" w:cs="TT15Ct00"/>
        </w:rPr>
        <w:t>comprehensive assessment of the meteorological strengths and weaknesses. It may also be</w:t>
      </w:r>
      <w:r>
        <w:rPr>
          <w:rFonts w:eastAsia="TT15Ct00" w:cs="TT15Ct00"/>
        </w:rPr>
        <w:t xml:space="preserve"> </w:t>
      </w:r>
      <w:r w:rsidRPr="001C2AF0">
        <w:rPr>
          <w:rFonts w:eastAsia="TT15Ct00" w:cs="TT15Ct00"/>
        </w:rPr>
        <w:t>useful to breakout model performance aloft, at the surface, during individual episodes (e.g.,</w:t>
      </w:r>
      <w:r>
        <w:rPr>
          <w:rFonts w:eastAsia="TT15Ct00" w:cs="TT15Ct00"/>
        </w:rPr>
        <w:t xml:space="preserve"> </w:t>
      </w:r>
      <w:r w:rsidRPr="001C2AF0">
        <w:rPr>
          <w:rFonts w:eastAsia="TT15Ct00" w:cs="TT15Ct00"/>
        </w:rPr>
        <w:t>high ozone/</w:t>
      </w:r>
      <w:r w:rsidRPr="00A35136">
        <w:t xml:space="preserve"> </w:t>
      </w:r>
      <w:r>
        <w:t>PM</w:t>
      </w:r>
      <w:r w:rsidRPr="00A35136">
        <w:rPr>
          <w:vertAlign w:val="subscript"/>
        </w:rPr>
        <w:t>2.5</w:t>
      </w:r>
      <w:r>
        <w:rPr>
          <w:vertAlign w:val="subscript"/>
        </w:rPr>
        <w:t xml:space="preserve"> </w:t>
      </w:r>
      <w:r w:rsidRPr="001C2AF0">
        <w:rPr>
          <w:rFonts w:eastAsia="TT15Ct00" w:cs="TT15Ct00"/>
        </w:rPr>
        <w:t>days), over the diurnal cycle, and as a function of synoptic regime.</w:t>
      </w:r>
      <w:r>
        <w:rPr>
          <w:rFonts w:eastAsia="TT15Ct00" w:cs="TT15Ct00"/>
        </w:rPr>
        <w:t xml:space="preserve"> </w:t>
      </w:r>
      <w:r w:rsidR="005C6841">
        <w:rPr>
          <w:rFonts w:eastAsia="TT15Ct00" w:cs="TT15Ct00"/>
        </w:rPr>
        <w:t>Wherever</w:t>
      </w:r>
      <w:r>
        <w:rPr>
          <w:rFonts w:eastAsia="TT15Ct00" w:cs="TT15Ct00"/>
        </w:rPr>
        <w:t xml:space="preserve"> possible, the analyses should evaluate the model results against independent datasets or datasets not used in the nudging to determine the model’s ability to reproduce fields at unmonitored locations.</w:t>
      </w:r>
    </w:p>
    <w:p w14:paraId="5C9593F7" w14:textId="77777777" w:rsidR="00D449B0" w:rsidRDefault="00D449B0" w:rsidP="00764C2B">
      <w:pPr>
        <w:autoSpaceDE w:val="0"/>
        <w:autoSpaceDN w:val="0"/>
        <w:adjustRightInd w:val="0"/>
        <w:spacing w:after="0" w:line="240" w:lineRule="auto"/>
        <w:rPr>
          <w:rFonts w:eastAsia="TT15Ct00" w:cs="TT15Ct00"/>
        </w:rPr>
      </w:pPr>
    </w:p>
    <w:p w14:paraId="3AB69C8F" w14:textId="32863E5D" w:rsidR="00D449B0" w:rsidRPr="000E69A3" w:rsidRDefault="00D449B0" w:rsidP="00D449B0">
      <w:pPr>
        <w:pStyle w:val="NoSpacing"/>
        <w:rPr>
          <w:rFonts w:eastAsia="TT15Ct00" w:cs="TT15Ct00"/>
          <w:color w:val="000000" w:themeColor="text1"/>
          <w:u w:val="single"/>
        </w:rPr>
      </w:pPr>
      <w:r w:rsidRPr="000E69A3">
        <w:rPr>
          <w:rFonts w:eastAsia="TT15Ct00" w:cs="TT15Ct00"/>
          <w:color w:val="000000" w:themeColor="text1"/>
          <w:u w:val="single"/>
        </w:rPr>
        <w:t xml:space="preserve">Recommended </w:t>
      </w:r>
      <w:r>
        <w:rPr>
          <w:rFonts w:eastAsia="TT15Ct00" w:cs="TT15Ct00"/>
          <w:color w:val="000000" w:themeColor="text1"/>
          <w:u w:val="single"/>
        </w:rPr>
        <w:t xml:space="preserve">statistical </w:t>
      </w:r>
      <w:r w:rsidRPr="000E69A3">
        <w:rPr>
          <w:rFonts w:eastAsia="TT15Ct00" w:cs="TT15Ct00"/>
          <w:color w:val="000000" w:themeColor="text1"/>
          <w:u w:val="single"/>
        </w:rPr>
        <w:t>analyses:</w:t>
      </w:r>
    </w:p>
    <w:p w14:paraId="0AA0F9A3" w14:textId="76ADA9B4" w:rsidR="00D449B0" w:rsidRDefault="00D449B0" w:rsidP="00D449B0">
      <w:pPr>
        <w:pStyle w:val="ListParagraph"/>
        <w:numPr>
          <w:ilvl w:val="0"/>
          <w:numId w:val="25"/>
        </w:numPr>
      </w:pPr>
      <w:r w:rsidRPr="00764C2B">
        <w:t>For temperature, mixing ratio, wind speed an</w:t>
      </w:r>
      <w:r>
        <w:t>d direction, and precipitation, calculate the values of the following statistics for each day and for monthly averages:</w:t>
      </w:r>
    </w:p>
    <w:p w14:paraId="3552F2AB" w14:textId="111F3EBB" w:rsidR="00D449B0" w:rsidRDefault="000052B0" w:rsidP="00D449B0">
      <w:pPr>
        <w:pStyle w:val="ListParagraph"/>
        <w:numPr>
          <w:ilvl w:val="1"/>
          <w:numId w:val="25"/>
        </w:numPr>
      </w:pPr>
      <w:r>
        <w:t xml:space="preserve">Mean Model / </w:t>
      </w:r>
      <w:r w:rsidR="00D449B0">
        <w:t>Observations</w:t>
      </w:r>
    </w:p>
    <w:p w14:paraId="4A345D5E" w14:textId="039EDB63" w:rsidR="00D449B0" w:rsidRDefault="00D449B0" w:rsidP="00D449B0">
      <w:pPr>
        <w:pStyle w:val="ListParagraph"/>
        <w:numPr>
          <w:ilvl w:val="1"/>
          <w:numId w:val="25"/>
        </w:numPr>
      </w:pPr>
      <w:r>
        <w:t>Mean Bias</w:t>
      </w:r>
      <w:r w:rsidR="000052B0">
        <w:t xml:space="preserve"> / Error</w:t>
      </w:r>
    </w:p>
    <w:p w14:paraId="55EEB16B" w14:textId="68110257" w:rsidR="00D449B0" w:rsidRDefault="000052B0" w:rsidP="00D449B0">
      <w:pPr>
        <w:pStyle w:val="ListParagraph"/>
        <w:numPr>
          <w:ilvl w:val="1"/>
          <w:numId w:val="25"/>
        </w:numPr>
      </w:pPr>
      <w:r>
        <w:t>Fractional Bias / Error</w:t>
      </w:r>
    </w:p>
    <w:p w14:paraId="694B8F3D" w14:textId="5E725F15" w:rsidR="00D449B0" w:rsidRDefault="00D449B0" w:rsidP="00D449B0">
      <w:pPr>
        <w:pStyle w:val="ListParagraph"/>
        <w:numPr>
          <w:ilvl w:val="1"/>
          <w:numId w:val="25"/>
        </w:numPr>
      </w:pPr>
      <w:r>
        <w:lastRenderedPageBreak/>
        <w:t>Correlation Coefficient</w:t>
      </w:r>
    </w:p>
    <w:p w14:paraId="75172E5E" w14:textId="38B094DC" w:rsidR="00D449B0" w:rsidRDefault="00D449B0" w:rsidP="00E328CF">
      <w:pPr>
        <w:pStyle w:val="ListParagraph"/>
        <w:numPr>
          <w:ilvl w:val="0"/>
          <w:numId w:val="25"/>
        </w:numPr>
        <w:spacing w:after="0"/>
      </w:pPr>
      <w:r>
        <w:t>Where appropriate, calculate the same statistical outcomes (as above)</w:t>
      </w:r>
      <w:r w:rsidRPr="00D449B0">
        <w:t xml:space="preserve"> </w:t>
      </w:r>
      <w:r>
        <w:t>f</w:t>
      </w:r>
      <w:r w:rsidRPr="00D449B0">
        <w:t>o</w:t>
      </w:r>
      <w:r>
        <w:t>r</w:t>
      </w:r>
      <w:r w:rsidRPr="00D449B0">
        <w:t xml:space="preserve"> high pollution episodes for ozone and PM2.5. Depending on the nature and intent of the particular study, finer temporal and spatial aggregations may be appropriate if there are sufficient data to permit the calculation of meaningful statistics. For instance, metrics aggregated by day and monitor may be necessary to understand specific meteorological events.</w:t>
      </w:r>
    </w:p>
    <w:p w14:paraId="02462016" w14:textId="77777777" w:rsidR="00764C2B" w:rsidRDefault="00764C2B" w:rsidP="00764C2B">
      <w:pPr>
        <w:pStyle w:val="NoSpacing"/>
        <w:rPr>
          <w:rFonts w:eastAsia="TT15Ct00" w:cs="TT15Ct00"/>
          <w:color w:val="000000" w:themeColor="text1"/>
          <w:u w:val="single"/>
        </w:rPr>
      </w:pPr>
    </w:p>
    <w:p w14:paraId="4361E297" w14:textId="34459C64" w:rsidR="00764C2B" w:rsidRPr="000E69A3" w:rsidRDefault="00764C2B" w:rsidP="00764C2B">
      <w:pPr>
        <w:pStyle w:val="NoSpacing"/>
        <w:rPr>
          <w:rFonts w:eastAsia="TT15Ct00" w:cs="TT15Ct00"/>
          <w:color w:val="000000" w:themeColor="text1"/>
          <w:u w:val="single"/>
        </w:rPr>
      </w:pPr>
      <w:r w:rsidRPr="000E69A3">
        <w:rPr>
          <w:rFonts w:eastAsia="TT15Ct00" w:cs="TT15Ct00"/>
          <w:color w:val="000000" w:themeColor="text1"/>
          <w:u w:val="single"/>
        </w:rPr>
        <w:t xml:space="preserve">Recommended </w:t>
      </w:r>
      <w:r w:rsidR="00D449B0">
        <w:rPr>
          <w:rFonts w:eastAsia="TT15Ct00" w:cs="TT15Ct00"/>
          <w:color w:val="000000" w:themeColor="text1"/>
          <w:u w:val="single"/>
        </w:rPr>
        <w:t>graphical</w:t>
      </w:r>
      <w:r w:rsidR="00817839">
        <w:rPr>
          <w:rFonts w:eastAsia="TT15Ct00" w:cs="TT15Ct00"/>
          <w:color w:val="000000" w:themeColor="text1"/>
          <w:u w:val="single"/>
        </w:rPr>
        <w:t xml:space="preserve"> </w:t>
      </w:r>
      <w:r w:rsidRPr="000E69A3">
        <w:rPr>
          <w:rFonts w:eastAsia="TT15Ct00" w:cs="TT15Ct00"/>
          <w:color w:val="000000" w:themeColor="text1"/>
          <w:u w:val="single"/>
        </w:rPr>
        <w:t>analyses:</w:t>
      </w:r>
    </w:p>
    <w:p w14:paraId="4BF73EB6" w14:textId="0766605E" w:rsidR="00764C2B" w:rsidRDefault="00764C2B" w:rsidP="00D449B0">
      <w:pPr>
        <w:pStyle w:val="ListParagraph"/>
        <w:numPr>
          <w:ilvl w:val="0"/>
          <w:numId w:val="27"/>
        </w:numPr>
      </w:pPr>
      <w:r w:rsidRPr="00764C2B">
        <w:t>For temperature, mixing ratio, wind speed and direction, and precipitation, generate time-series plots of hourly modeled and observed d</w:t>
      </w:r>
      <w:r>
        <w:t>ata at individual monitor sites.</w:t>
      </w:r>
      <w:r w:rsidRPr="00764C2B">
        <w:t xml:space="preserve"> </w:t>
      </w:r>
      <w:r>
        <w:t>These plots can be u</w:t>
      </w:r>
      <w:r w:rsidRPr="00764C2B">
        <w:t>sed to identify particular times</w:t>
      </w:r>
      <w:r>
        <w:t xml:space="preserve"> and locations</w:t>
      </w:r>
      <w:r w:rsidRPr="00764C2B">
        <w:t xml:space="preserve"> when</w:t>
      </w:r>
      <w:r>
        <w:t>/where</w:t>
      </w:r>
      <w:r w:rsidRPr="00764C2B">
        <w:t xml:space="preserve"> the model performs well or poorly. It may also be useful to plot model results for multiple grid cells close to the monitor</w:t>
      </w:r>
      <w:r>
        <w:t>.</w:t>
      </w:r>
    </w:p>
    <w:p w14:paraId="5CA6D5D6" w14:textId="3A14B2BF" w:rsidR="00764C2B" w:rsidRDefault="00764C2B" w:rsidP="00D449B0">
      <w:pPr>
        <w:pStyle w:val="ListParagraph"/>
        <w:numPr>
          <w:ilvl w:val="0"/>
          <w:numId w:val="27"/>
        </w:numPr>
      </w:pPr>
      <w:r w:rsidRPr="00764C2B">
        <w:t xml:space="preserve">For temperature, mixing ratio, wind speed and direction, and precipitation, generate scatter plots of hourly modeled and observed data at individual monitor sites: Used to assess the model performance for a range of levels. </w:t>
      </w:r>
    </w:p>
    <w:p w14:paraId="5F242283" w14:textId="3220B4B9" w:rsidR="00764C2B" w:rsidRPr="00764C2B" w:rsidRDefault="00764C2B" w:rsidP="00D449B0">
      <w:pPr>
        <w:pStyle w:val="ListParagraph"/>
        <w:numPr>
          <w:ilvl w:val="0"/>
          <w:numId w:val="27"/>
        </w:numPr>
      </w:pPr>
      <w:r w:rsidRPr="00764C2B">
        <w:t xml:space="preserve">Vertical profiles of modeled and observed temperature, potential temperature, </w:t>
      </w:r>
      <w:r>
        <w:t>wind speed, and wind direction.  These plots can be u</w:t>
      </w:r>
      <w:r w:rsidRPr="00764C2B">
        <w:t>sed to determine how well the model r</w:t>
      </w:r>
      <w:r>
        <w:t>epresents the atmospheric profiles</w:t>
      </w:r>
      <w:r w:rsidRPr="00764C2B">
        <w:t xml:space="preserve"> and boundary layer</w:t>
      </w:r>
      <w:r>
        <w:t xml:space="preserve"> heights</w:t>
      </w:r>
      <w:r w:rsidRPr="00764C2B">
        <w:t>.</w:t>
      </w:r>
    </w:p>
    <w:p w14:paraId="5452DFE5" w14:textId="027732F4" w:rsidR="00764C2B" w:rsidRDefault="00764C2B" w:rsidP="00D449B0">
      <w:pPr>
        <w:pStyle w:val="ListParagraph"/>
        <w:numPr>
          <w:ilvl w:val="0"/>
          <w:numId w:val="27"/>
        </w:numPr>
      </w:pPr>
      <w:r w:rsidRPr="00764C2B">
        <w:t>Daily and/or monthly spatial plots of modeled and observed</w:t>
      </w:r>
      <w:r>
        <w:t xml:space="preserve"> cloud cover and precipitation.  These plots can be u</w:t>
      </w:r>
      <w:r w:rsidRPr="00764C2B">
        <w:t>sed to identify times</w:t>
      </w:r>
      <w:r>
        <w:t>/locations</w:t>
      </w:r>
      <w:r w:rsidRPr="00764C2B">
        <w:t xml:space="preserve"> with good or poor performance, and where the model accurately simulates observed levels but misplaces the location of the high levels. Plots may also be a useful approach to determine days where the model may have problems predicting ozone because cloud cover impacts the photolysis rates and formation of ozone.</w:t>
      </w:r>
    </w:p>
    <w:p w14:paraId="03808C77" w14:textId="77777777" w:rsidR="00817839" w:rsidRPr="00817839" w:rsidRDefault="00817839" w:rsidP="00D449B0">
      <w:pPr>
        <w:pStyle w:val="ListParagraph"/>
        <w:numPr>
          <w:ilvl w:val="0"/>
          <w:numId w:val="27"/>
        </w:numPr>
      </w:pPr>
      <w:r w:rsidRPr="00817839">
        <w:t>Daily and monthly spatial plots of modeled and observed albedo and snow depth for the winter season: Used to identify times with good or poor performance, and where the model accurately simulates observed levels but misplaces the location of the high levels.</w:t>
      </w:r>
    </w:p>
    <w:p w14:paraId="39F106BB" w14:textId="77777777" w:rsidR="00817839" w:rsidRPr="00817839" w:rsidRDefault="00817839" w:rsidP="00D449B0">
      <w:pPr>
        <w:pStyle w:val="ListParagraph"/>
        <w:numPr>
          <w:ilvl w:val="0"/>
          <w:numId w:val="27"/>
        </w:numPr>
      </w:pPr>
      <w:r w:rsidRPr="00817839">
        <w:t>Diurnal cycle plots of the model and observed planetary boundary layer height for time periods with measurements: Used to assess the model performance for the vertical structure of the atmosphere.</w:t>
      </w:r>
    </w:p>
    <w:p w14:paraId="40576799" w14:textId="20168253" w:rsidR="00817839" w:rsidRDefault="00817839" w:rsidP="00817839">
      <w:pPr>
        <w:rPr>
          <w:u w:val="single"/>
        </w:rPr>
      </w:pPr>
      <w:r w:rsidRPr="00817839">
        <w:rPr>
          <w:u w:val="single"/>
        </w:rPr>
        <w:t xml:space="preserve">Additional </w:t>
      </w:r>
      <w:r>
        <w:rPr>
          <w:u w:val="single"/>
        </w:rPr>
        <w:t xml:space="preserve">graphical </w:t>
      </w:r>
      <w:r w:rsidRPr="00817839">
        <w:rPr>
          <w:u w:val="single"/>
        </w:rPr>
        <w:t>analyses:</w:t>
      </w:r>
    </w:p>
    <w:p w14:paraId="090BEF48" w14:textId="48B0743D" w:rsidR="00817839" w:rsidRDefault="00817839" w:rsidP="00817839">
      <w:pPr>
        <w:pStyle w:val="ListParagraph"/>
        <w:numPr>
          <w:ilvl w:val="0"/>
          <w:numId w:val="26"/>
        </w:numPr>
      </w:pPr>
      <w:r w:rsidRPr="00764C2B">
        <w:t xml:space="preserve">For temperature, mixing ratio, wind speed and direction, and precipitation, generate </w:t>
      </w:r>
      <w:r w:rsidRPr="00817839">
        <w:t>Q-Q plots of hourly modeled and observed da</w:t>
      </w:r>
      <w:r>
        <w:t>ta at individual monitor sites.  Cab be u</w:t>
      </w:r>
      <w:r w:rsidRPr="00817839">
        <w:t>sed to assess the dynamic range of the model</w:t>
      </w:r>
      <w:r>
        <w:t>.</w:t>
      </w:r>
    </w:p>
    <w:p w14:paraId="362D4532" w14:textId="65EEE931" w:rsidR="00817839" w:rsidRDefault="00817839" w:rsidP="00817839">
      <w:pPr>
        <w:pStyle w:val="ListParagraph"/>
        <w:numPr>
          <w:ilvl w:val="0"/>
          <w:numId w:val="26"/>
        </w:numPr>
      </w:pPr>
      <w:r>
        <w:t>Time series comparisons of model and observed shortwave downward radiation where available (i.e., from SURFRAD and ISIS networks).</w:t>
      </w:r>
    </w:p>
    <w:p w14:paraId="12090F57" w14:textId="54C2B6B7" w:rsidR="00764C2B" w:rsidRDefault="00D449B0" w:rsidP="00764C2B">
      <w:pPr>
        <w:pStyle w:val="NoSpacing"/>
      </w:pPr>
      <w:r w:rsidRPr="00D449B0">
        <w:t xml:space="preserve">If issues are identified as part of the operational </w:t>
      </w:r>
      <w:r>
        <w:t xml:space="preserve">meteorological </w:t>
      </w:r>
      <w:r w:rsidRPr="00D449B0">
        <w:t>evalu</w:t>
      </w:r>
      <w:r>
        <w:t>ation (e.g., consistent temperature bias during periods with poor air quality, seasonal precipitation biases, etc.), additional diagnostic assessments may be needed</w:t>
      </w:r>
      <w:r w:rsidRPr="00D449B0">
        <w:t>.</w:t>
      </w:r>
      <w:r>
        <w:t xml:space="preserve"> </w:t>
      </w:r>
      <w:r w:rsidR="00764C2B">
        <w:t xml:space="preserve">Analyses for diagnostic evaluations would include re-running the </w:t>
      </w:r>
      <w:r>
        <w:t xml:space="preserve">meteorological </w:t>
      </w:r>
      <w:r w:rsidR="00764C2B">
        <w:t xml:space="preserve">model with different configuration options based on issues identified during the operational evaluation. </w:t>
      </w:r>
      <w:r w:rsidR="0003562F" w:rsidRPr="0003562F">
        <w:t>Testing various configuration options should be conducted in an iterative approach to better understand which options are controlling or improving the model performance. Similar graphical displays and/or statistical analyses outlined for the operational evaluation should be completed for the diagnostic evaluation.</w:t>
      </w:r>
      <w:r w:rsidR="0003562F">
        <w:t xml:space="preserve"> </w:t>
      </w:r>
      <w:r w:rsidR="00764C2B">
        <w:t xml:space="preserve">Alternative </w:t>
      </w:r>
      <w:r>
        <w:t>meteorological model configuration options that could</w:t>
      </w:r>
      <w:r w:rsidR="00764C2B">
        <w:t xml:space="preserve"> be completed as part of </w:t>
      </w:r>
      <w:r>
        <w:t xml:space="preserve">the diagnostic evaluation </w:t>
      </w:r>
      <w:r w:rsidR="00764C2B">
        <w:t xml:space="preserve">include: </w:t>
      </w:r>
    </w:p>
    <w:p w14:paraId="5E8566C0" w14:textId="77777777" w:rsidR="002B2BF6" w:rsidRDefault="002B2BF6" w:rsidP="00764C2B">
      <w:pPr>
        <w:pStyle w:val="NoSpacing"/>
      </w:pPr>
    </w:p>
    <w:p w14:paraId="195920F8" w14:textId="0B52945A" w:rsidR="0003562F" w:rsidRDefault="0003562F" w:rsidP="00817839">
      <w:pPr>
        <w:pStyle w:val="NoSpacing"/>
        <w:numPr>
          <w:ilvl w:val="0"/>
          <w:numId w:val="12"/>
        </w:numPr>
      </w:pPr>
      <w:r>
        <w:t>Different meteorological models</w:t>
      </w:r>
    </w:p>
    <w:p w14:paraId="009E4750" w14:textId="77777777" w:rsidR="00764C2B" w:rsidRDefault="00764C2B" w:rsidP="00817839">
      <w:pPr>
        <w:pStyle w:val="NoSpacing"/>
        <w:numPr>
          <w:ilvl w:val="0"/>
          <w:numId w:val="12"/>
        </w:numPr>
      </w:pPr>
      <w:r>
        <w:t>New releases of the meteorological model platform</w:t>
      </w:r>
    </w:p>
    <w:p w14:paraId="53227F35" w14:textId="77777777" w:rsidR="00764C2B" w:rsidRDefault="00764C2B" w:rsidP="00817839">
      <w:pPr>
        <w:pStyle w:val="NoSpacing"/>
        <w:numPr>
          <w:ilvl w:val="0"/>
          <w:numId w:val="12"/>
        </w:numPr>
      </w:pPr>
      <w:r>
        <w:lastRenderedPageBreak/>
        <w:t>Cumulus parameterization schemes</w:t>
      </w:r>
    </w:p>
    <w:p w14:paraId="6D770877" w14:textId="77777777" w:rsidR="00764C2B" w:rsidRDefault="00764C2B" w:rsidP="00817839">
      <w:pPr>
        <w:pStyle w:val="NoSpacing"/>
        <w:numPr>
          <w:ilvl w:val="0"/>
          <w:numId w:val="12"/>
        </w:numPr>
      </w:pPr>
      <w:r>
        <w:t>Planetary Boundary Layer schemes</w:t>
      </w:r>
    </w:p>
    <w:p w14:paraId="0A8CBE56" w14:textId="7A11F465" w:rsidR="00764C2B" w:rsidRDefault="00764C2B" w:rsidP="00817839">
      <w:pPr>
        <w:pStyle w:val="NoSpacing"/>
        <w:numPr>
          <w:ilvl w:val="0"/>
          <w:numId w:val="12"/>
        </w:numPr>
      </w:pPr>
      <w:r>
        <w:t>Analysis/Observational Nudging</w:t>
      </w:r>
      <w:r w:rsidR="0003562F">
        <w:t xml:space="preserve"> alterations</w:t>
      </w:r>
    </w:p>
    <w:p w14:paraId="546E9B85" w14:textId="1DD9AD45" w:rsidR="00764C2B" w:rsidRDefault="00764C2B" w:rsidP="00817839">
      <w:pPr>
        <w:pStyle w:val="NoSpacing"/>
        <w:numPr>
          <w:ilvl w:val="0"/>
          <w:numId w:val="12"/>
        </w:numPr>
      </w:pPr>
      <w:r>
        <w:t>Land Surface Model</w:t>
      </w:r>
      <w:r w:rsidR="0003562F">
        <w:t xml:space="preserve"> schemes</w:t>
      </w:r>
    </w:p>
    <w:p w14:paraId="32511296" w14:textId="77777777" w:rsidR="00764C2B" w:rsidRDefault="00764C2B" w:rsidP="00817839">
      <w:pPr>
        <w:pStyle w:val="NoSpacing"/>
        <w:numPr>
          <w:ilvl w:val="0"/>
          <w:numId w:val="12"/>
        </w:numPr>
      </w:pPr>
      <w:r>
        <w:t>Radiation schemes</w:t>
      </w:r>
    </w:p>
    <w:p w14:paraId="7DA907F2" w14:textId="702BCABE" w:rsidR="00764C2B" w:rsidRDefault="00764C2B" w:rsidP="00764C2B">
      <w:pPr>
        <w:pStyle w:val="NoSpacing"/>
        <w:numPr>
          <w:ilvl w:val="0"/>
          <w:numId w:val="12"/>
        </w:numPr>
      </w:pPr>
      <w:r>
        <w:t>Microphysics schemes</w:t>
      </w:r>
    </w:p>
    <w:p w14:paraId="23F0CC3C" w14:textId="77777777" w:rsidR="00870C99" w:rsidRDefault="00870C99" w:rsidP="00870C99">
      <w:pPr>
        <w:pStyle w:val="NoSpacing"/>
        <w:rPr>
          <w:b/>
        </w:rPr>
      </w:pPr>
    </w:p>
    <w:p w14:paraId="6A2D1CE4" w14:textId="77777777" w:rsidR="00870C99" w:rsidRDefault="00870C99" w:rsidP="00870C99">
      <w:pPr>
        <w:pStyle w:val="NoSpacing"/>
        <w:rPr>
          <w:b/>
        </w:rPr>
      </w:pPr>
      <w:r w:rsidRPr="00662291">
        <w:rPr>
          <w:b/>
        </w:rPr>
        <w:t>EVALUATI</w:t>
      </w:r>
      <w:r>
        <w:rPr>
          <w:b/>
        </w:rPr>
        <w:t>ON OF</w:t>
      </w:r>
      <w:r w:rsidRPr="00662291">
        <w:rPr>
          <w:b/>
        </w:rPr>
        <w:t xml:space="preserve"> PHOTOCHEMICAL MODELING RESULTS</w:t>
      </w:r>
    </w:p>
    <w:p w14:paraId="5FBA51C9" w14:textId="77777777" w:rsidR="00870C99" w:rsidRDefault="00870C99" w:rsidP="00870C99">
      <w:pPr>
        <w:pStyle w:val="NoSpacing"/>
        <w:tabs>
          <w:tab w:val="left" w:pos="900"/>
        </w:tabs>
        <w:rPr>
          <w:b/>
        </w:rPr>
      </w:pPr>
    </w:p>
    <w:p w14:paraId="09E068A2" w14:textId="5198CB09" w:rsidR="00870C99" w:rsidRPr="0062618D" w:rsidRDefault="00870C99" w:rsidP="00620A7A">
      <w:pPr>
        <w:pStyle w:val="NoSpacing"/>
        <w:tabs>
          <w:tab w:val="left" w:pos="900"/>
        </w:tabs>
      </w:pPr>
      <w:r>
        <w:t xml:space="preserve">The goal of this </w:t>
      </w:r>
      <w:r w:rsidR="0005080E">
        <w:t>portion of the platform</w:t>
      </w:r>
      <w:r w:rsidR="00620A7A">
        <w:t xml:space="preserve"> </w:t>
      </w:r>
      <w:r>
        <w:t xml:space="preserve">assessment is to determine how well the </w:t>
      </w:r>
      <w:r w:rsidR="0005080E">
        <w:t xml:space="preserve">air quality </w:t>
      </w:r>
      <w:r>
        <w:t>model replicates observed concentrations of</w:t>
      </w:r>
      <w:r w:rsidR="00620A7A">
        <w:t xml:space="preserve"> ozone, ozone precursors, total PM</w:t>
      </w:r>
      <w:r w:rsidR="00620A7A" w:rsidRPr="00620A7A">
        <w:rPr>
          <w:vertAlign w:val="subscript"/>
        </w:rPr>
        <w:t>2.5</w:t>
      </w:r>
      <w:r w:rsidR="00620A7A">
        <w:t>, individual</w:t>
      </w:r>
      <w:r>
        <w:t xml:space="preserve"> </w:t>
      </w:r>
      <w:r>
        <w:t>PM</w:t>
      </w:r>
      <w:r w:rsidRPr="00620A7A">
        <w:rPr>
          <w:vertAlign w:val="subscript"/>
        </w:rPr>
        <w:t>2.5</w:t>
      </w:r>
      <w:r>
        <w:rPr>
          <w:sz w:val="16"/>
          <w:szCs w:val="16"/>
        </w:rPr>
        <w:t xml:space="preserve"> </w:t>
      </w:r>
      <w:r>
        <w:t xml:space="preserve">components, </w:t>
      </w:r>
      <w:r w:rsidR="00620A7A">
        <w:t>and deposition of key pollutant species</w:t>
      </w:r>
      <w:r>
        <w:t xml:space="preserve">. </w:t>
      </w:r>
      <w:r w:rsidR="00620A7A">
        <w:t>Statistical analyses shou</w:t>
      </w:r>
      <w:r w:rsidR="0005080E">
        <w:t xml:space="preserve">ld be calculated for </w:t>
      </w:r>
      <w:r w:rsidR="00620A7A">
        <w:t>pollutants</w:t>
      </w:r>
      <w:r w:rsidR="002B2BF6">
        <w:t xml:space="preserve"> and time periods</w:t>
      </w:r>
      <w:r w:rsidR="00620A7A">
        <w:t xml:space="preserve"> that are most relevant for understanding the processes </w:t>
      </w:r>
      <w:r w:rsidR="002B2BF6">
        <w:t>important for a given model application</w:t>
      </w:r>
      <w:r w:rsidR="00620A7A">
        <w:t xml:space="preserve">. </w:t>
      </w:r>
      <w:r>
        <w:t xml:space="preserve">The recommended </w:t>
      </w:r>
      <w:r w:rsidR="0005080E">
        <w:t xml:space="preserve">statistical analyses and </w:t>
      </w:r>
      <w:r>
        <w:t>graphical displays are outlined below by pollutant.</w:t>
      </w:r>
    </w:p>
    <w:p w14:paraId="232235E9" w14:textId="77777777" w:rsidR="00620A7A" w:rsidRDefault="00620A7A" w:rsidP="00620A7A">
      <w:pPr>
        <w:pStyle w:val="NoSpacing"/>
        <w:rPr>
          <w:rFonts w:eastAsia="TT15Ct00" w:cs="TT15Ct00"/>
          <w:color w:val="000000" w:themeColor="text1"/>
          <w:u w:val="single"/>
        </w:rPr>
      </w:pPr>
    </w:p>
    <w:p w14:paraId="727AE350" w14:textId="2F71C004" w:rsidR="00620A7A" w:rsidRPr="00CB5281" w:rsidRDefault="00620A7A" w:rsidP="00620A7A">
      <w:pPr>
        <w:pStyle w:val="NoSpacing"/>
        <w:rPr>
          <w:rFonts w:eastAsia="TT15Ct00" w:cs="TT15Ct00"/>
          <w:color w:val="000000" w:themeColor="text1"/>
          <w:u w:val="single"/>
        </w:rPr>
      </w:pPr>
      <w:r w:rsidRPr="00CB5281">
        <w:rPr>
          <w:rFonts w:eastAsia="TT15Ct00" w:cs="TT15Ct00"/>
          <w:color w:val="000000" w:themeColor="text1"/>
          <w:u w:val="single"/>
        </w:rPr>
        <w:t xml:space="preserve">Recommended </w:t>
      </w:r>
      <w:r>
        <w:rPr>
          <w:rFonts w:eastAsia="TT15Ct00" w:cs="TT15Ct00"/>
          <w:color w:val="000000" w:themeColor="text1"/>
          <w:u w:val="single"/>
        </w:rPr>
        <w:t xml:space="preserve">statistical </w:t>
      </w:r>
      <w:r w:rsidRPr="00CB5281">
        <w:rPr>
          <w:rFonts w:eastAsia="TT15Ct00" w:cs="TT15Ct00"/>
          <w:color w:val="000000" w:themeColor="text1"/>
          <w:u w:val="single"/>
        </w:rPr>
        <w:t>analyses for ozone</w:t>
      </w:r>
      <w:r w:rsidR="002B2BF6">
        <w:rPr>
          <w:rFonts w:eastAsia="TT15Ct00" w:cs="TT15Ct00"/>
          <w:color w:val="000000" w:themeColor="text1"/>
          <w:u w:val="single"/>
        </w:rPr>
        <w:t xml:space="preserve"> and ozone precursors</w:t>
      </w:r>
      <w:r w:rsidRPr="00CB5281">
        <w:rPr>
          <w:rFonts w:eastAsia="TT15Ct00" w:cs="TT15Ct00"/>
          <w:color w:val="000000" w:themeColor="text1"/>
          <w:u w:val="single"/>
        </w:rPr>
        <w:t>:</w:t>
      </w:r>
    </w:p>
    <w:p w14:paraId="48715D11" w14:textId="4B679694" w:rsidR="00620A7A" w:rsidRDefault="00620A7A" w:rsidP="00620A7A">
      <w:pPr>
        <w:pStyle w:val="ListParagraph"/>
        <w:numPr>
          <w:ilvl w:val="0"/>
          <w:numId w:val="28"/>
        </w:numPr>
      </w:pPr>
      <w:r>
        <w:t>For hourly ozone and MDA8 ozone values, calculate the values of the following statistics for each day and for monthly averages:</w:t>
      </w:r>
    </w:p>
    <w:p w14:paraId="3DAD4390" w14:textId="1502E46F" w:rsidR="002B2BF6" w:rsidRDefault="002B2BF6" w:rsidP="002B2BF6">
      <w:pPr>
        <w:pStyle w:val="ListParagraph"/>
        <w:numPr>
          <w:ilvl w:val="1"/>
          <w:numId w:val="28"/>
        </w:numPr>
      </w:pPr>
      <w:r>
        <w:t>Mean Model / Observations</w:t>
      </w:r>
    </w:p>
    <w:p w14:paraId="3B05AFF3" w14:textId="2B022B00" w:rsidR="002B2BF6" w:rsidRDefault="002B2BF6" w:rsidP="002B2BF6">
      <w:pPr>
        <w:pStyle w:val="ListParagraph"/>
        <w:numPr>
          <w:ilvl w:val="1"/>
          <w:numId w:val="28"/>
        </w:numPr>
      </w:pPr>
      <w:r>
        <w:t>Mean Bias / Error</w:t>
      </w:r>
    </w:p>
    <w:p w14:paraId="643BBF70" w14:textId="0D386D14" w:rsidR="002B2BF6" w:rsidRDefault="002B2BF6" w:rsidP="002B2BF6">
      <w:pPr>
        <w:pStyle w:val="ListParagraph"/>
        <w:numPr>
          <w:ilvl w:val="1"/>
          <w:numId w:val="28"/>
        </w:numPr>
      </w:pPr>
      <w:r>
        <w:t>Normalized Mean Bias / Error</w:t>
      </w:r>
    </w:p>
    <w:p w14:paraId="632C146F" w14:textId="48BD5615" w:rsidR="002B2BF6" w:rsidRDefault="002B2BF6" w:rsidP="002B2BF6">
      <w:pPr>
        <w:pStyle w:val="ListParagraph"/>
        <w:numPr>
          <w:ilvl w:val="1"/>
          <w:numId w:val="28"/>
        </w:numPr>
      </w:pPr>
      <w:r>
        <w:t>Mean Fractional Bias / Error</w:t>
      </w:r>
    </w:p>
    <w:p w14:paraId="3EC3C531" w14:textId="055D38FB" w:rsidR="002B2BF6" w:rsidRDefault="002B2BF6" w:rsidP="002B2BF6">
      <w:pPr>
        <w:pStyle w:val="ListParagraph"/>
        <w:numPr>
          <w:ilvl w:val="1"/>
          <w:numId w:val="28"/>
        </w:numPr>
      </w:pPr>
      <w:r>
        <w:t>Correlation Coefficient</w:t>
      </w:r>
    </w:p>
    <w:p w14:paraId="6C38B792" w14:textId="30E1222A" w:rsidR="001F5F3E" w:rsidRDefault="001F5F3E" w:rsidP="001F5F3E">
      <w:pPr>
        <w:pStyle w:val="ListParagraph"/>
        <w:numPr>
          <w:ilvl w:val="0"/>
          <w:numId w:val="28"/>
        </w:numPr>
      </w:pPr>
      <w:r>
        <w:t>For hourly ozone and MDA8 ozone values above certain thresholds (e.g., 60 ppb), calculate the values of the following statistics for each day and for monthly averages:</w:t>
      </w:r>
    </w:p>
    <w:p w14:paraId="56E752CD" w14:textId="77777777" w:rsidR="001F5F3E" w:rsidRDefault="001F5F3E" w:rsidP="001F5F3E">
      <w:pPr>
        <w:pStyle w:val="ListParagraph"/>
        <w:numPr>
          <w:ilvl w:val="1"/>
          <w:numId w:val="28"/>
        </w:numPr>
      </w:pPr>
      <w:r>
        <w:t>Mean Model / Observations</w:t>
      </w:r>
    </w:p>
    <w:p w14:paraId="03605892" w14:textId="77777777" w:rsidR="001F5F3E" w:rsidRDefault="001F5F3E" w:rsidP="001F5F3E">
      <w:pPr>
        <w:pStyle w:val="ListParagraph"/>
        <w:numPr>
          <w:ilvl w:val="1"/>
          <w:numId w:val="28"/>
        </w:numPr>
      </w:pPr>
      <w:r>
        <w:t>Mean Bias / Error</w:t>
      </w:r>
    </w:p>
    <w:p w14:paraId="22328134" w14:textId="77777777" w:rsidR="001F5F3E" w:rsidRDefault="001F5F3E" w:rsidP="001F5F3E">
      <w:pPr>
        <w:pStyle w:val="ListParagraph"/>
        <w:numPr>
          <w:ilvl w:val="1"/>
          <w:numId w:val="28"/>
        </w:numPr>
      </w:pPr>
      <w:r>
        <w:t>Normalized Mean Bias / Error</w:t>
      </w:r>
    </w:p>
    <w:p w14:paraId="06936928" w14:textId="77777777" w:rsidR="001F5F3E" w:rsidRDefault="001F5F3E" w:rsidP="001F5F3E">
      <w:pPr>
        <w:pStyle w:val="ListParagraph"/>
        <w:numPr>
          <w:ilvl w:val="1"/>
          <w:numId w:val="28"/>
        </w:numPr>
      </w:pPr>
      <w:r>
        <w:t>Mean Fractional Bias / Error</w:t>
      </w:r>
    </w:p>
    <w:p w14:paraId="685B5084" w14:textId="1AF129E6" w:rsidR="001F5F3E" w:rsidRDefault="001F5F3E" w:rsidP="001F5F3E">
      <w:pPr>
        <w:pStyle w:val="ListParagraph"/>
        <w:numPr>
          <w:ilvl w:val="1"/>
          <w:numId w:val="28"/>
        </w:numPr>
      </w:pPr>
      <w:r>
        <w:t>Correlation Coefficient</w:t>
      </w:r>
    </w:p>
    <w:p w14:paraId="4128565A" w14:textId="323FD1E0" w:rsidR="002B2BF6" w:rsidRDefault="002B2BF6" w:rsidP="002B2BF6">
      <w:pPr>
        <w:pStyle w:val="ListParagraph"/>
        <w:numPr>
          <w:ilvl w:val="0"/>
          <w:numId w:val="28"/>
        </w:numPr>
      </w:pPr>
      <w:r>
        <w:t>For hourly</w:t>
      </w:r>
      <w:r w:rsidRPr="002B2BF6">
        <w:t xml:space="preserve"> </w:t>
      </w:r>
      <w:r w:rsidR="00BC7DBD">
        <w:t>ozone precursors with observed data (e.g., NO</w:t>
      </w:r>
      <w:r w:rsidR="00BC7DBD" w:rsidRPr="00BC7DBD">
        <w:rPr>
          <w:vertAlign w:val="subscript"/>
        </w:rPr>
        <w:t>X</w:t>
      </w:r>
      <w:r w:rsidR="00BC7DBD">
        <w:t>, NO</w:t>
      </w:r>
      <w:r w:rsidR="00BC7DBD" w:rsidRPr="00BC7DBD">
        <w:rPr>
          <w:vertAlign w:val="subscript"/>
        </w:rPr>
        <w:t>Y</w:t>
      </w:r>
      <w:r w:rsidRPr="002B2BF6">
        <w:t>, VOC, speciated VOC, HNO</w:t>
      </w:r>
      <w:r w:rsidRPr="00BC7DBD">
        <w:rPr>
          <w:vertAlign w:val="subscript"/>
        </w:rPr>
        <w:t>3</w:t>
      </w:r>
      <w:r w:rsidRPr="002B2BF6">
        <w:t>, NO, NO</w:t>
      </w:r>
      <w:r w:rsidRPr="00BC7DBD">
        <w:rPr>
          <w:vertAlign w:val="subscript"/>
        </w:rPr>
        <w:t>2</w:t>
      </w:r>
      <w:r w:rsidRPr="002B2BF6">
        <w:t>, PAN, CO, CH</w:t>
      </w:r>
      <w:r w:rsidRPr="00BC7DBD">
        <w:rPr>
          <w:vertAlign w:val="subscript"/>
        </w:rPr>
        <w:t>4</w:t>
      </w:r>
      <w:r w:rsidRPr="002B2BF6">
        <w:t>, SO</w:t>
      </w:r>
      <w:r w:rsidRPr="00BC7DBD">
        <w:rPr>
          <w:vertAlign w:val="subscript"/>
        </w:rPr>
        <w:t>2</w:t>
      </w:r>
      <w:r w:rsidRPr="002B2BF6">
        <w:t>, and NH</w:t>
      </w:r>
      <w:r w:rsidRPr="00BC7DBD">
        <w:rPr>
          <w:vertAlign w:val="subscript"/>
        </w:rPr>
        <w:t>3</w:t>
      </w:r>
      <w:r w:rsidR="00BC7DBD">
        <w:t>)</w:t>
      </w:r>
      <w:r>
        <w:t>, calculate the following statistics for each day and for monthly averages:</w:t>
      </w:r>
    </w:p>
    <w:p w14:paraId="43859535" w14:textId="77777777" w:rsidR="002B2BF6" w:rsidRDefault="002B2BF6" w:rsidP="002B2BF6">
      <w:pPr>
        <w:pStyle w:val="ListParagraph"/>
        <w:numPr>
          <w:ilvl w:val="1"/>
          <w:numId w:val="28"/>
        </w:numPr>
      </w:pPr>
      <w:r>
        <w:t>Mean Model / Observations</w:t>
      </w:r>
    </w:p>
    <w:p w14:paraId="76B9FC46" w14:textId="77777777" w:rsidR="002B2BF6" w:rsidRDefault="002B2BF6" w:rsidP="002B2BF6">
      <w:pPr>
        <w:pStyle w:val="ListParagraph"/>
        <w:numPr>
          <w:ilvl w:val="1"/>
          <w:numId w:val="28"/>
        </w:numPr>
      </w:pPr>
      <w:r>
        <w:t>Mean Bias / Error</w:t>
      </w:r>
    </w:p>
    <w:p w14:paraId="58100A74" w14:textId="77777777" w:rsidR="002B2BF6" w:rsidRDefault="002B2BF6" w:rsidP="002B2BF6">
      <w:pPr>
        <w:pStyle w:val="ListParagraph"/>
        <w:numPr>
          <w:ilvl w:val="1"/>
          <w:numId w:val="28"/>
        </w:numPr>
      </w:pPr>
      <w:r>
        <w:t>Normalized Mean Bias / Error</w:t>
      </w:r>
    </w:p>
    <w:p w14:paraId="7A6DFC3F" w14:textId="77777777" w:rsidR="002B2BF6" w:rsidRDefault="002B2BF6" w:rsidP="002B2BF6">
      <w:pPr>
        <w:pStyle w:val="ListParagraph"/>
        <w:numPr>
          <w:ilvl w:val="1"/>
          <w:numId w:val="28"/>
        </w:numPr>
      </w:pPr>
      <w:r>
        <w:t>Mean Fractional Bias / Error</w:t>
      </w:r>
    </w:p>
    <w:p w14:paraId="696D124B" w14:textId="446A0EB1" w:rsidR="002B2BF6" w:rsidRDefault="002B2BF6" w:rsidP="002B2BF6">
      <w:pPr>
        <w:pStyle w:val="ListParagraph"/>
        <w:numPr>
          <w:ilvl w:val="1"/>
          <w:numId w:val="28"/>
        </w:numPr>
      </w:pPr>
      <w:r>
        <w:t>Correlation Coefficient</w:t>
      </w:r>
    </w:p>
    <w:p w14:paraId="218FC93E" w14:textId="25B9FABF" w:rsidR="00620A7A" w:rsidRPr="000052B0" w:rsidRDefault="001F5F3E" w:rsidP="00E328CF">
      <w:pPr>
        <w:pStyle w:val="ListParagraph"/>
        <w:numPr>
          <w:ilvl w:val="0"/>
          <w:numId w:val="28"/>
        </w:numPr>
        <w:spacing w:after="0"/>
      </w:pPr>
      <w:r>
        <w:t xml:space="preserve">As </w:t>
      </w:r>
      <w:r w:rsidR="0005080E">
        <w:t>appropriate, it may</w:t>
      </w:r>
      <w:r>
        <w:t xml:space="preserve"> be valuable</w:t>
      </w:r>
      <w:r w:rsidR="002B2BF6">
        <w:t xml:space="preserve"> to aggregate certain regions or time periods and evaluate model performance for those specific subsets using the same metrics shown above</w:t>
      </w:r>
      <w:r w:rsidR="0005080E">
        <w:t xml:space="preserve"> (e.g., seasonal averages, state-specific model performance, etc.)</w:t>
      </w:r>
      <w:r w:rsidR="00620A7A">
        <w:t xml:space="preserve">. </w:t>
      </w:r>
    </w:p>
    <w:p w14:paraId="19755DBD" w14:textId="77777777" w:rsidR="00870C99" w:rsidRDefault="00870C99" w:rsidP="00870C99">
      <w:pPr>
        <w:pStyle w:val="NoSpacing"/>
        <w:rPr>
          <w:rFonts w:eastAsia="TT15Ct00" w:cs="TT15Ct00"/>
          <w:color w:val="000000" w:themeColor="text1"/>
          <w:u w:val="single"/>
        </w:rPr>
      </w:pPr>
    </w:p>
    <w:p w14:paraId="7F9EDC84" w14:textId="05CF9DA8" w:rsidR="00870C99" w:rsidRPr="00CB5281" w:rsidRDefault="00870C99" w:rsidP="00870C99">
      <w:pPr>
        <w:pStyle w:val="NoSpacing"/>
        <w:rPr>
          <w:rFonts w:eastAsia="TT15Ct00" w:cs="TT15Ct00"/>
          <w:color w:val="000000" w:themeColor="text1"/>
          <w:u w:val="single"/>
        </w:rPr>
      </w:pPr>
      <w:r w:rsidRPr="00CB5281">
        <w:rPr>
          <w:rFonts w:eastAsia="TT15Ct00" w:cs="TT15Ct00"/>
          <w:color w:val="000000" w:themeColor="text1"/>
          <w:u w:val="single"/>
        </w:rPr>
        <w:t xml:space="preserve">Recommended </w:t>
      </w:r>
      <w:r w:rsidR="00620A7A">
        <w:rPr>
          <w:rFonts w:eastAsia="TT15Ct00" w:cs="TT15Ct00"/>
          <w:color w:val="000000" w:themeColor="text1"/>
          <w:u w:val="single"/>
        </w:rPr>
        <w:t xml:space="preserve">graphical </w:t>
      </w:r>
      <w:r w:rsidRPr="00CB5281">
        <w:rPr>
          <w:rFonts w:eastAsia="TT15Ct00" w:cs="TT15Ct00"/>
          <w:color w:val="000000" w:themeColor="text1"/>
          <w:u w:val="single"/>
        </w:rPr>
        <w:t>analyses for ozone:</w:t>
      </w:r>
    </w:p>
    <w:p w14:paraId="78E31163" w14:textId="07BB0790" w:rsidR="000052B0" w:rsidRDefault="000052B0" w:rsidP="00620A7A">
      <w:pPr>
        <w:pStyle w:val="ListParagraph"/>
        <w:numPr>
          <w:ilvl w:val="0"/>
          <w:numId w:val="31"/>
        </w:numPr>
      </w:pPr>
      <w:r>
        <w:lastRenderedPageBreak/>
        <w:t xml:space="preserve">Time-series plots of modeled and observed daily maximum 8-hour average (MDA8) </w:t>
      </w:r>
      <w:r w:rsidRPr="000052B0">
        <w:t>ozone at</w:t>
      </w:r>
      <w:r w:rsidR="008968B1">
        <w:t xml:space="preserve"> individual monitor sites</w:t>
      </w:r>
      <w:r>
        <w:t xml:space="preserve">.  These </w:t>
      </w:r>
      <w:r w:rsidR="0005080E">
        <w:t xml:space="preserve">plots </w:t>
      </w:r>
      <w:r>
        <w:t>c</w:t>
      </w:r>
      <w:r w:rsidRPr="000052B0">
        <w:t>an be used to i</w:t>
      </w:r>
      <w:r>
        <w:t xml:space="preserve">dentify particular </w:t>
      </w:r>
      <w:r w:rsidR="0005080E">
        <w:t xml:space="preserve">locations and periods </w:t>
      </w:r>
      <w:r>
        <w:t xml:space="preserve">where </w:t>
      </w:r>
      <w:r w:rsidRPr="000052B0">
        <w:t xml:space="preserve">the model performs well or </w:t>
      </w:r>
      <w:r w:rsidR="0005080E">
        <w:t xml:space="preserve">performs </w:t>
      </w:r>
      <w:r w:rsidRPr="000052B0">
        <w:t>poorly</w:t>
      </w:r>
      <w:r>
        <w:t>.</w:t>
      </w:r>
      <w:r>
        <w:rPr>
          <w:rStyle w:val="FootnoteReference"/>
        </w:rPr>
        <w:footnoteReference w:id="1"/>
      </w:r>
      <w:r w:rsidRPr="000052B0">
        <w:t xml:space="preserve"> </w:t>
      </w:r>
    </w:p>
    <w:p w14:paraId="373BB239" w14:textId="16AB1BA1" w:rsidR="000052B0" w:rsidRPr="000052B0" w:rsidRDefault="000052B0" w:rsidP="00620A7A">
      <w:pPr>
        <w:pStyle w:val="ListParagraph"/>
        <w:numPr>
          <w:ilvl w:val="0"/>
          <w:numId w:val="31"/>
        </w:numPr>
      </w:pPr>
      <w:r w:rsidRPr="000052B0">
        <w:t xml:space="preserve">Scatter plots of </w:t>
      </w:r>
      <w:r>
        <w:t>modeled and observed hourly and MDA8</w:t>
      </w:r>
      <w:r w:rsidRPr="000052B0">
        <w:t xml:space="preserve"> oz</w:t>
      </w:r>
      <w:r w:rsidR="008968B1">
        <w:t>one at individual monitor sites</w:t>
      </w:r>
      <w:r>
        <w:t>.  These can be u</w:t>
      </w:r>
      <w:r w:rsidRPr="000052B0">
        <w:t xml:space="preserve">sed to assess model performance for a range of </w:t>
      </w:r>
      <w:r w:rsidR="008968B1">
        <w:t xml:space="preserve">observed </w:t>
      </w:r>
      <w:r w:rsidRPr="000052B0">
        <w:t>ozone levels.</w:t>
      </w:r>
      <w:r w:rsidR="0005080E">
        <w:t xml:space="preserve"> Again</w:t>
      </w:r>
      <w:r w:rsidR="008968B1">
        <w:t xml:space="preserve">, it may be useful to aggregate the model/observed pairs by geographic region (e.g., State) or time period (e.g., month/season) to assess whether there are important variations in performance across the domain. </w:t>
      </w:r>
    </w:p>
    <w:p w14:paraId="6DA06246" w14:textId="0DA5BD43" w:rsidR="008968B1" w:rsidRPr="008968B1" w:rsidRDefault="0005080E" w:rsidP="00620A7A">
      <w:pPr>
        <w:pStyle w:val="ListParagraph"/>
        <w:numPr>
          <w:ilvl w:val="0"/>
          <w:numId w:val="31"/>
        </w:numPr>
      </w:pPr>
      <w:r>
        <w:t>Spatial plots of</w:t>
      </w:r>
      <w:r w:rsidR="008968B1" w:rsidRPr="008968B1">
        <w:t xml:space="preserve"> modeled and observed </w:t>
      </w:r>
      <w:r>
        <w:t xml:space="preserve">MDA8 </w:t>
      </w:r>
      <w:r w:rsidR="008968B1" w:rsidRPr="008968B1">
        <w:t>ozone</w:t>
      </w:r>
      <w:r w:rsidR="008968B1">
        <w:t>. C</w:t>
      </w:r>
      <w:r w:rsidR="008968B1" w:rsidRPr="008968B1">
        <w:t xml:space="preserve">an be used to assess performance on </w:t>
      </w:r>
      <w:r>
        <w:t xml:space="preserve">individual </w:t>
      </w:r>
      <w:r w:rsidR="008968B1" w:rsidRPr="008968B1">
        <w:t>days</w:t>
      </w:r>
      <w:r>
        <w:t xml:space="preserve"> (including days that may be particularly relevant to NAAQS issues)</w:t>
      </w:r>
      <w:r w:rsidR="008968B1" w:rsidRPr="008968B1">
        <w:t>.</w:t>
      </w:r>
    </w:p>
    <w:p w14:paraId="6529C617" w14:textId="14930057" w:rsidR="00170950" w:rsidRPr="00170950" w:rsidRDefault="00170950" w:rsidP="00E328CF">
      <w:pPr>
        <w:pStyle w:val="ListParagraph"/>
        <w:numPr>
          <w:ilvl w:val="0"/>
          <w:numId w:val="31"/>
        </w:numPr>
        <w:spacing w:after="0"/>
      </w:pPr>
      <w:r w:rsidRPr="00170950">
        <w:t xml:space="preserve">Vertical profiles of modeled and observed ozone for </w:t>
      </w:r>
      <w:r w:rsidR="0005080E">
        <w:t xml:space="preserve">locations and </w:t>
      </w:r>
      <w:r>
        <w:t xml:space="preserve">time periods with </w:t>
      </w:r>
      <w:r w:rsidR="0005080E">
        <w:t xml:space="preserve">aloft </w:t>
      </w:r>
      <w:r>
        <w:t>measurements</w:t>
      </w:r>
      <w:r w:rsidR="0005080E">
        <w:t xml:space="preserve"> (e.g., ozonesondes).  These plots c</w:t>
      </w:r>
      <w:r>
        <w:t>an be u</w:t>
      </w:r>
      <w:r w:rsidRPr="00170950">
        <w:t xml:space="preserve">sed to determine how well the model represents ozone above the boundary layer and ozone transport. </w:t>
      </w:r>
    </w:p>
    <w:p w14:paraId="32FA5DE2" w14:textId="77777777" w:rsidR="000052B0" w:rsidRPr="000052B0" w:rsidRDefault="000052B0" w:rsidP="00E328CF">
      <w:pPr>
        <w:pStyle w:val="ListParagraph"/>
        <w:spacing w:after="0"/>
      </w:pPr>
    </w:p>
    <w:p w14:paraId="278A1A38" w14:textId="55634448" w:rsidR="000052B0" w:rsidRPr="00CB5281" w:rsidRDefault="000052B0" w:rsidP="000052B0">
      <w:pPr>
        <w:pStyle w:val="NoSpacing"/>
        <w:rPr>
          <w:rFonts w:eastAsia="TT15Ct00" w:cs="TT15Ct00"/>
          <w:color w:val="000000" w:themeColor="text1"/>
          <w:u w:val="single"/>
        </w:rPr>
      </w:pPr>
      <w:r>
        <w:rPr>
          <w:rFonts w:eastAsia="TT15Ct00" w:cs="TT15Ct00"/>
          <w:color w:val="000000" w:themeColor="text1"/>
          <w:u w:val="single"/>
        </w:rPr>
        <w:t>Additional</w:t>
      </w:r>
      <w:r w:rsidRPr="00CB5281">
        <w:rPr>
          <w:rFonts w:eastAsia="TT15Ct00" w:cs="TT15Ct00"/>
          <w:color w:val="000000" w:themeColor="text1"/>
          <w:u w:val="single"/>
        </w:rPr>
        <w:t xml:space="preserve"> </w:t>
      </w:r>
      <w:r w:rsidR="00BC7DBD">
        <w:rPr>
          <w:rFonts w:eastAsia="TT15Ct00" w:cs="TT15Ct00"/>
          <w:color w:val="000000" w:themeColor="text1"/>
          <w:u w:val="single"/>
        </w:rPr>
        <w:t xml:space="preserve">graphical </w:t>
      </w:r>
      <w:r w:rsidRPr="00CB5281">
        <w:rPr>
          <w:rFonts w:eastAsia="TT15Ct00" w:cs="TT15Ct00"/>
          <w:color w:val="000000" w:themeColor="text1"/>
          <w:u w:val="single"/>
        </w:rPr>
        <w:t>analyses for ozone:</w:t>
      </w:r>
    </w:p>
    <w:p w14:paraId="630A1BD8" w14:textId="15CF8C83" w:rsidR="00EC2E8F" w:rsidRDefault="00EC2E8F" w:rsidP="000052B0">
      <w:pPr>
        <w:pStyle w:val="ListParagraph"/>
        <w:numPr>
          <w:ilvl w:val="0"/>
          <w:numId w:val="30"/>
        </w:numPr>
      </w:pPr>
      <w:r>
        <w:t>Box plots of the distribution of model hourly and MDA8 ozone bias.  These plots can provide an overall perspective on the range of model bias within a simulation.</w:t>
      </w:r>
    </w:p>
    <w:p w14:paraId="158566AB" w14:textId="7CD55496" w:rsidR="00EC2E8F" w:rsidRDefault="00EC2E8F" w:rsidP="00EC2E8F">
      <w:pPr>
        <w:pStyle w:val="ListParagraph"/>
        <w:numPr>
          <w:ilvl w:val="0"/>
          <w:numId w:val="30"/>
        </w:numPr>
      </w:pPr>
      <w:r w:rsidRPr="00620A7A">
        <w:t>Q-Q plots of hourly and 8-hour ozone at individual monitor sites for time periods with measurements: Used to assess the dynamic range of the model.</w:t>
      </w:r>
    </w:p>
    <w:p w14:paraId="5AF8B1BA" w14:textId="148B9F02" w:rsidR="000052B0" w:rsidRPr="000052B0" w:rsidRDefault="000052B0" w:rsidP="000052B0">
      <w:pPr>
        <w:pStyle w:val="ListParagraph"/>
        <w:numPr>
          <w:ilvl w:val="0"/>
          <w:numId w:val="30"/>
        </w:numPr>
      </w:pPr>
      <w:r w:rsidRPr="000052B0">
        <w:t xml:space="preserve">Time-series plots of modeled and observed </w:t>
      </w:r>
      <w:r w:rsidR="008968B1" w:rsidRPr="0005080E">
        <w:rPr>
          <w:i/>
        </w:rPr>
        <w:t>hourly</w:t>
      </w:r>
      <w:r w:rsidR="008968B1">
        <w:t xml:space="preserve"> </w:t>
      </w:r>
      <w:r w:rsidRPr="000052B0">
        <w:t xml:space="preserve">ozone at individual monitor sites for time periods with measurements.  Can be used to identify particular times of day or days of the week when the model performs well or poorly. </w:t>
      </w:r>
      <w:r w:rsidR="00EC2E8F">
        <w:t xml:space="preserve"> Time periods with relatively poor performance can be flagged for additional investigation.</w:t>
      </w:r>
    </w:p>
    <w:p w14:paraId="011AD5D0" w14:textId="1375C6A6" w:rsidR="00870C99" w:rsidRDefault="008968B1" w:rsidP="000052B0">
      <w:pPr>
        <w:pStyle w:val="ListParagraph"/>
        <w:numPr>
          <w:ilvl w:val="0"/>
          <w:numId w:val="30"/>
        </w:numPr>
      </w:pPr>
      <w:r>
        <w:t>S</w:t>
      </w:r>
      <w:r w:rsidR="00870C99" w:rsidRPr="00CB5281">
        <w:t xml:space="preserve">patial plots of modeled and observed </w:t>
      </w:r>
      <w:r>
        <w:t xml:space="preserve">hourly </w:t>
      </w:r>
      <w:r w:rsidR="00870C99" w:rsidRPr="00CB5281">
        <w:t xml:space="preserve">ozone.  Can be used to identify </w:t>
      </w:r>
      <w:r>
        <w:t xml:space="preserve">specific hours </w:t>
      </w:r>
      <w:r w:rsidR="000052B0">
        <w:t>(and locations within days)</w:t>
      </w:r>
      <w:r>
        <w:t xml:space="preserve"> with good/poor performance.</w:t>
      </w:r>
    </w:p>
    <w:p w14:paraId="02AF9886" w14:textId="6857F7D4" w:rsidR="00170950" w:rsidRDefault="00620A7A" w:rsidP="00E328CF">
      <w:pPr>
        <w:pStyle w:val="ListParagraph"/>
        <w:numPr>
          <w:ilvl w:val="0"/>
          <w:numId w:val="30"/>
        </w:numPr>
        <w:spacing w:after="0"/>
      </w:pPr>
      <w:r>
        <w:t>Where appropriate,</w:t>
      </w:r>
      <w:r w:rsidR="00BC7DBD">
        <w:t xml:space="preserve"> it may be valuable to generate graphical displays for subsets of the data most relevant to the application.  For example, in cases involving winter ozone formation within a snow-covered basin, it </w:t>
      </w:r>
      <w:r w:rsidR="0005080E">
        <w:t>may</w:t>
      </w:r>
      <w:r w:rsidR="00BC7DBD">
        <w:t xml:space="preserve"> be valuable to link the air quality evaluation to the meteorological evaluation (e.g., assess model performance on days grouped by snow cover).</w:t>
      </w:r>
    </w:p>
    <w:p w14:paraId="6680B835" w14:textId="77777777" w:rsidR="0005080E" w:rsidRDefault="0005080E" w:rsidP="00E328CF">
      <w:pPr>
        <w:pStyle w:val="ListParagraph"/>
        <w:spacing w:after="0"/>
      </w:pPr>
    </w:p>
    <w:p w14:paraId="772771EF" w14:textId="434CD2F8" w:rsidR="001F5F3E" w:rsidRPr="00CB5281" w:rsidRDefault="001F5F3E" w:rsidP="001F5F3E">
      <w:pPr>
        <w:pStyle w:val="NoSpacing"/>
        <w:rPr>
          <w:rFonts w:eastAsia="TT15Ct00" w:cs="TT15Ct00"/>
          <w:color w:val="000000" w:themeColor="text1"/>
          <w:u w:val="single"/>
        </w:rPr>
      </w:pPr>
      <w:r w:rsidRPr="00CB5281">
        <w:rPr>
          <w:rFonts w:eastAsia="TT15Ct00" w:cs="TT15Ct00"/>
          <w:color w:val="000000" w:themeColor="text1"/>
          <w:u w:val="single"/>
        </w:rPr>
        <w:t xml:space="preserve">Recommended </w:t>
      </w:r>
      <w:r>
        <w:rPr>
          <w:rFonts w:eastAsia="TT15Ct00" w:cs="TT15Ct00"/>
          <w:color w:val="000000" w:themeColor="text1"/>
          <w:u w:val="single"/>
        </w:rPr>
        <w:t xml:space="preserve">statistical </w:t>
      </w:r>
      <w:r w:rsidRPr="00CB5281">
        <w:rPr>
          <w:rFonts w:eastAsia="TT15Ct00" w:cs="TT15Ct00"/>
          <w:color w:val="000000" w:themeColor="text1"/>
          <w:u w:val="single"/>
        </w:rPr>
        <w:t xml:space="preserve">analyses for </w:t>
      </w:r>
      <w:r w:rsidR="00A736FE">
        <w:rPr>
          <w:rFonts w:eastAsia="TT15Ct00" w:cs="TT15Ct00"/>
          <w:color w:val="000000" w:themeColor="text1"/>
          <w:u w:val="single"/>
        </w:rPr>
        <w:t>total PM</w:t>
      </w:r>
      <w:r w:rsidR="00A736FE" w:rsidRPr="001F5F3E">
        <w:rPr>
          <w:rFonts w:eastAsia="TT15Ct00" w:cs="TT15Ct00"/>
          <w:color w:val="000000" w:themeColor="text1"/>
          <w:u w:val="single"/>
          <w:vertAlign w:val="subscript"/>
        </w:rPr>
        <w:t>2.5</w:t>
      </w:r>
      <w:r w:rsidR="00A736FE">
        <w:rPr>
          <w:rFonts w:eastAsia="TT15Ct00" w:cs="TT15Ct00"/>
          <w:color w:val="000000" w:themeColor="text1"/>
          <w:u w:val="single"/>
        </w:rPr>
        <w:t xml:space="preserve"> and </w:t>
      </w:r>
      <w:r>
        <w:rPr>
          <w:rFonts w:eastAsia="TT15Ct00" w:cs="TT15Ct00"/>
          <w:color w:val="000000" w:themeColor="text1"/>
          <w:u w:val="single"/>
        </w:rPr>
        <w:t>PM</w:t>
      </w:r>
      <w:r w:rsidRPr="001F5F3E">
        <w:rPr>
          <w:rFonts w:eastAsia="TT15Ct00" w:cs="TT15Ct00"/>
          <w:color w:val="000000" w:themeColor="text1"/>
          <w:u w:val="single"/>
          <w:vertAlign w:val="subscript"/>
        </w:rPr>
        <w:t>2.5</w:t>
      </w:r>
      <w:r>
        <w:rPr>
          <w:rFonts w:eastAsia="TT15Ct00" w:cs="TT15Ct00"/>
          <w:color w:val="000000" w:themeColor="text1"/>
          <w:u w:val="single"/>
        </w:rPr>
        <w:t xml:space="preserve"> components</w:t>
      </w:r>
      <w:r>
        <w:rPr>
          <w:rStyle w:val="FootnoteReference"/>
          <w:rFonts w:eastAsia="TT15Ct00" w:cs="TT15Ct00"/>
          <w:color w:val="000000" w:themeColor="text1"/>
          <w:u w:val="single"/>
        </w:rPr>
        <w:footnoteReference w:id="2"/>
      </w:r>
      <w:r w:rsidRPr="00CB5281">
        <w:rPr>
          <w:rFonts w:eastAsia="TT15Ct00" w:cs="TT15Ct00"/>
          <w:color w:val="000000" w:themeColor="text1"/>
          <w:u w:val="single"/>
        </w:rPr>
        <w:t>:</w:t>
      </w:r>
    </w:p>
    <w:p w14:paraId="3F4AE3A6" w14:textId="11CB70DC" w:rsidR="001F5F3E" w:rsidRDefault="001F5F3E" w:rsidP="001F5F3E">
      <w:pPr>
        <w:pStyle w:val="ListParagraph"/>
        <w:numPr>
          <w:ilvl w:val="0"/>
          <w:numId w:val="32"/>
        </w:numPr>
      </w:pPr>
      <w:r>
        <w:t>It is</w:t>
      </w:r>
      <w:r w:rsidRPr="001F5F3E">
        <w:t xml:space="preserve"> important to evaluate each PM</w:t>
      </w:r>
      <w:r w:rsidRPr="001F5F3E">
        <w:rPr>
          <w:vertAlign w:val="subscript"/>
        </w:rPr>
        <w:t>2.5</w:t>
      </w:r>
      <w:r w:rsidRPr="001F5F3E">
        <w:t xml:space="preserve"> component separately in order to understand whether the model is properly replicating the causes of high PM</w:t>
      </w:r>
      <w:r w:rsidRPr="001F5F3E">
        <w:rPr>
          <w:vertAlign w:val="subscript"/>
        </w:rPr>
        <w:t>2.5</w:t>
      </w:r>
      <w:r w:rsidRPr="001F5F3E">
        <w:t xml:space="preserve"> episodes. </w:t>
      </w:r>
      <w:r>
        <w:t>For</w:t>
      </w:r>
      <w:r w:rsidRPr="001F5F3E">
        <w:t xml:space="preserve"> SO</w:t>
      </w:r>
      <w:r w:rsidRPr="001F5F3E">
        <w:rPr>
          <w:vertAlign w:val="subscript"/>
        </w:rPr>
        <w:t>4</w:t>
      </w:r>
      <w:r w:rsidRPr="001F5F3E">
        <w:t>, NO</w:t>
      </w:r>
      <w:r w:rsidRPr="001F5F3E">
        <w:rPr>
          <w:vertAlign w:val="subscript"/>
        </w:rPr>
        <w:t>3</w:t>
      </w:r>
      <w:r w:rsidRPr="001F5F3E">
        <w:t>, NH</w:t>
      </w:r>
      <w:r w:rsidRPr="001F5F3E">
        <w:rPr>
          <w:vertAlign w:val="subscript"/>
        </w:rPr>
        <w:t>4</w:t>
      </w:r>
      <w:r w:rsidRPr="001F5F3E">
        <w:t xml:space="preserve">, </w:t>
      </w:r>
      <w:r>
        <w:t>elemental carbon, organic carbon, and crustal e</w:t>
      </w:r>
      <w:r w:rsidRPr="001F5F3E">
        <w:t>lements</w:t>
      </w:r>
      <w:r>
        <w:t xml:space="preserve">, </w:t>
      </w:r>
      <w:r w:rsidR="0005080E">
        <w:t xml:space="preserve">we </w:t>
      </w:r>
      <w:r w:rsidR="00F11AAC">
        <w:t>recommend calculating</w:t>
      </w:r>
      <w:r>
        <w:t xml:space="preserve"> the following statistics for each day and for monthly averages:</w:t>
      </w:r>
    </w:p>
    <w:p w14:paraId="370C1AAB" w14:textId="77777777" w:rsidR="001F5F3E" w:rsidRDefault="001F5F3E" w:rsidP="001F5F3E">
      <w:pPr>
        <w:pStyle w:val="ListParagraph"/>
        <w:numPr>
          <w:ilvl w:val="1"/>
          <w:numId w:val="32"/>
        </w:numPr>
      </w:pPr>
      <w:r>
        <w:t>Mean Model / Observations</w:t>
      </w:r>
    </w:p>
    <w:p w14:paraId="6667D0E9" w14:textId="77777777" w:rsidR="001F5F3E" w:rsidRDefault="001F5F3E" w:rsidP="001F5F3E">
      <w:pPr>
        <w:pStyle w:val="ListParagraph"/>
        <w:numPr>
          <w:ilvl w:val="1"/>
          <w:numId w:val="32"/>
        </w:numPr>
      </w:pPr>
      <w:r>
        <w:t>Mean Bias / Error</w:t>
      </w:r>
    </w:p>
    <w:p w14:paraId="37C65CBA" w14:textId="77777777" w:rsidR="001F5F3E" w:rsidRDefault="001F5F3E" w:rsidP="001F5F3E">
      <w:pPr>
        <w:pStyle w:val="ListParagraph"/>
        <w:numPr>
          <w:ilvl w:val="1"/>
          <w:numId w:val="32"/>
        </w:numPr>
      </w:pPr>
      <w:r>
        <w:t>Normalized Mean Bias / Error</w:t>
      </w:r>
    </w:p>
    <w:p w14:paraId="4FE01C7E" w14:textId="77777777" w:rsidR="001F5F3E" w:rsidRDefault="001F5F3E" w:rsidP="001F5F3E">
      <w:pPr>
        <w:pStyle w:val="ListParagraph"/>
        <w:numPr>
          <w:ilvl w:val="1"/>
          <w:numId w:val="32"/>
        </w:numPr>
      </w:pPr>
      <w:r>
        <w:t>Mean Fractional Bias / Error</w:t>
      </w:r>
    </w:p>
    <w:p w14:paraId="63B1EE34" w14:textId="77777777" w:rsidR="001F5F3E" w:rsidRDefault="001F5F3E" w:rsidP="001F5F3E">
      <w:pPr>
        <w:pStyle w:val="ListParagraph"/>
        <w:numPr>
          <w:ilvl w:val="1"/>
          <w:numId w:val="32"/>
        </w:numPr>
      </w:pPr>
      <w:r>
        <w:t>Correlation Coefficient</w:t>
      </w:r>
    </w:p>
    <w:p w14:paraId="69AB8025" w14:textId="44B57087" w:rsidR="001F5F3E" w:rsidRPr="000052B0" w:rsidRDefault="001F5F3E" w:rsidP="00E328CF">
      <w:pPr>
        <w:pStyle w:val="ListParagraph"/>
        <w:numPr>
          <w:ilvl w:val="0"/>
          <w:numId w:val="32"/>
        </w:numPr>
        <w:spacing w:after="0"/>
      </w:pPr>
      <w:r>
        <w:lastRenderedPageBreak/>
        <w:t>A</w:t>
      </w:r>
      <w:r w:rsidR="0005080E">
        <w:t>gain, a</w:t>
      </w:r>
      <w:r>
        <w:t xml:space="preserve">s </w:t>
      </w:r>
      <w:r w:rsidR="00321D7A">
        <w:t>appropriate, it may</w:t>
      </w:r>
      <w:r>
        <w:t xml:space="preserve"> be valuable to aggregate certain regions or time periods and evaluate model performance for those specific subsets using the same metrics shown above. </w:t>
      </w:r>
    </w:p>
    <w:p w14:paraId="7360038C" w14:textId="77777777" w:rsidR="001F5F3E" w:rsidRDefault="001F5F3E" w:rsidP="001F5F3E">
      <w:pPr>
        <w:pStyle w:val="NoSpacing"/>
        <w:rPr>
          <w:rFonts w:eastAsia="TT15Ct00" w:cs="TT15Ct00"/>
          <w:color w:val="000000" w:themeColor="text1"/>
          <w:u w:val="single"/>
        </w:rPr>
      </w:pPr>
    </w:p>
    <w:p w14:paraId="45751895" w14:textId="0B40D1DC" w:rsidR="001F5F3E" w:rsidRPr="00CB5281" w:rsidRDefault="001F5F3E" w:rsidP="001F5F3E">
      <w:pPr>
        <w:pStyle w:val="NoSpacing"/>
        <w:rPr>
          <w:rFonts w:eastAsia="TT15Ct00" w:cs="TT15Ct00"/>
          <w:color w:val="000000" w:themeColor="text1"/>
          <w:u w:val="single"/>
        </w:rPr>
      </w:pPr>
      <w:r w:rsidRPr="00CB5281">
        <w:rPr>
          <w:rFonts w:eastAsia="TT15Ct00" w:cs="TT15Ct00"/>
          <w:color w:val="000000" w:themeColor="text1"/>
          <w:u w:val="single"/>
        </w:rPr>
        <w:t xml:space="preserve">Recommended </w:t>
      </w:r>
      <w:r>
        <w:rPr>
          <w:rFonts w:eastAsia="TT15Ct00" w:cs="TT15Ct00"/>
          <w:color w:val="000000" w:themeColor="text1"/>
          <w:u w:val="single"/>
        </w:rPr>
        <w:t xml:space="preserve">graphical </w:t>
      </w:r>
      <w:r w:rsidRPr="00CB5281">
        <w:rPr>
          <w:rFonts w:eastAsia="TT15Ct00" w:cs="TT15Ct00"/>
          <w:color w:val="000000" w:themeColor="text1"/>
          <w:u w:val="single"/>
        </w:rPr>
        <w:t>analyses</w:t>
      </w:r>
      <w:r>
        <w:rPr>
          <w:rFonts w:eastAsia="TT15Ct00" w:cs="TT15Ct00"/>
          <w:color w:val="000000" w:themeColor="text1"/>
          <w:u w:val="single"/>
        </w:rPr>
        <w:t xml:space="preserve"> for </w:t>
      </w:r>
      <w:r w:rsidR="00A736FE">
        <w:rPr>
          <w:rFonts w:eastAsia="TT15Ct00" w:cs="TT15Ct00"/>
          <w:color w:val="000000" w:themeColor="text1"/>
          <w:u w:val="single"/>
        </w:rPr>
        <w:t>total PM</w:t>
      </w:r>
      <w:r w:rsidR="00A736FE" w:rsidRPr="001F5F3E">
        <w:rPr>
          <w:rFonts w:eastAsia="TT15Ct00" w:cs="TT15Ct00"/>
          <w:color w:val="000000" w:themeColor="text1"/>
          <w:u w:val="single"/>
          <w:vertAlign w:val="subscript"/>
        </w:rPr>
        <w:t>2.5</w:t>
      </w:r>
      <w:r w:rsidR="00A736FE">
        <w:rPr>
          <w:rFonts w:eastAsia="TT15Ct00" w:cs="TT15Ct00"/>
          <w:color w:val="000000" w:themeColor="text1"/>
          <w:u w:val="single"/>
        </w:rPr>
        <w:t xml:space="preserve"> and PM</w:t>
      </w:r>
      <w:r w:rsidR="00A736FE" w:rsidRPr="001F5F3E">
        <w:rPr>
          <w:rFonts w:eastAsia="TT15Ct00" w:cs="TT15Ct00"/>
          <w:color w:val="000000" w:themeColor="text1"/>
          <w:u w:val="single"/>
          <w:vertAlign w:val="subscript"/>
        </w:rPr>
        <w:t>2.5</w:t>
      </w:r>
      <w:r w:rsidR="00A736FE">
        <w:rPr>
          <w:rFonts w:eastAsia="TT15Ct00" w:cs="TT15Ct00"/>
          <w:color w:val="000000" w:themeColor="text1"/>
          <w:u w:val="single"/>
        </w:rPr>
        <w:t xml:space="preserve"> components</w:t>
      </w:r>
      <w:r w:rsidRPr="00CB5281">
        <w:rPr>
          <w:rFonts w:eastAsia="TT15Ct00" w:cs="TT15Ct00"/>
          <w:color w:val="000000" w:themeColor="text1"/>
          <w:u w:val="single"/>
        </w:rPr>
        <w:t>:</w:t>
      </w:r>
    </w:p>
    <w:p w14:paraId="383CD662" w14:textId="0C701062" w:rsidR="001F5F3E" w:rsidRDefault="001F5F3E" w:rsidP="001F5F3E">
      <w:pPr>
        <w:pStyle w:val="ListParagraph"/>
        <w:numPr>
          <w:ilvl w:val="0"/>
          <w:numId w:val="33"/>
        </w:numPr>
      </w:pPr>
      <w:r>
        <w:t xml:space="preserve">Time-series plots of modeled and observed daily </w:t>
      </w:r>
      <w:r w:rsidR="00A736FE">
        <w:t>PM</w:t>
      </w:r>
      <w:r w:rsidR="00A736FE" w:rsidRPr="00A736FE">
        <w:rPr>
          <w:vertAlign w:val="subscript"/>
        </w:rPr>
        <w:t>2.5</w:t>
      </w:r>
      <w:r w:rsidR="00A736FE">
        <w:t xml:space="preserve"> components</w:t>
      </w:r>
      <w:r w:rsidRPr="000052B0">
        <w:t xml:space="preserve"> at</w:t>
      </w:r>
      <w:r>
        <w:t xml:space="preserve"> individual monitor sites</w:t>
      </w:r>
      <w:r w:rsidR="00A736FE">
        <w:t xml:space="preserve"> (e.g., </w:t>
      </w:r>
      <w:r w:rsidR="00A736FE" w:rsidRPr="001F5F3E">
        <w:t>SO</w:t>
      </w:r>
      <w:r w:rsidR="00A736FE" w:rsidRPr="001F5F3E">
        <w:rPr>
          <w:vertAlign w:val="subscript"/>
        </w:rPr>
        <w:t>4</w:t>
      </w:r>
      <w:r w:rsidR="00A736FE" w:rsidRPr="001F5F3E">
        <w:t>, NO</w:t>
      </w:r>
      <w:r w:rsidR="00A736FE" w:rsidRPr="001F5F3E">
        <w:rPr>
          <w:vertAlign w:val="subscript"/>
        </w:rPr>
        <w:t>3</w:t>
      </w:r>
      <w:r w:rsidR="00A736FE" w:rsidRPr="001F5F3E">
        <w:t>, NH</w:t>
      </w:r>
      <w:r w:rsidR="00A736FE" w:rsidRPr="001F5F3E">
        <w:rPr>
          <w:vertAlign w:val="subscript"/>
        </w:rPr>
        <w:t>4</w:t>
      </w:r>
      <w:r w:rsidR="00A736FE" w:rsidRPr="001F5F3E">
        <w:t xml:space="preserve">, </w:t>
      </w:r>
      <w:r w:rsidR="00A736FE">
        <w:t>elemental carbon, organic carbon, and crustal e</w:t>
      </w:r>
      <w:r w:rsidR="00A736FE" w:rsidRPr="001F5F3E">
        <w:t>lements</w:t>
      </w:r>
      <w:r w:rsidR="00A736FE">
        <w:t>)</w:t>
      </w:r>
      <w:r>
        <w:t>.  These c</w:t>
      </w:r>
      <w:r w:rsidRPr="000052B0">
        <w:t>an be used to i</w:t>
      </w:r>
      <w:r>
        <w:t xml:space="preserve">dentify particular days and locations where </w:t>
      </w:r>
      <w:r w:rsidRPr="000052B0">
        <w:t>the model performs well or poorly</w:t>
      </w:r>
      <w:r>
        <w:t>.</w:t>
      </w:r>
    </w:p>
    <w:p w14:paraId="10F947AB" w14:textId="1F2A3370" w:rsidR="001F5F3E" w:rsidRPr="000052B0" w:rsidRDefault="001F5F3E" w:rsidP="001F5F3E">
      <w:pPr>
        <w:pStyle w:val="ListParagraph"/>
        <w:numPr>
          <w:ilvl w:val="0"/>
          <w:numId w:val="33"/>
        </w:numPr>
      </w:pPr>
      <w:r w:rsidRPr="000052B0">
        <w:t xml:space="preserve">Scatter plots of </w:t>
      </w:r>
      <w:r>
        <w:t xml:space="preserve">modeled and observed </w:t>
      </w:r>
      <w:r w:rsidR="00A736FE">
        <w:t>daily PM</w:t>
      </w:r>
      <w:r w:rsidR="00A736FE" w:rsidRPr="00A736FE">
        <w:rPr>
          <w:vertAlign w:val="subscript"/>
        </w:rPr>
        <w:t>2.5</w:t>
      </w:r>
      <w:r w:rsidR="00A736FE">
        <w:t xml:space="preserve"> components</w:t>
      </w:r>
      <w:r>
        <w:t xml:space="preserve"> </w:t>
      </w:r>
      <w:r w:rsidR="00A736FE">
        <w:t>and total PM</w:t>
      </w:r>
      <w:r w:rsidR="00A736FE" w:rsidRPr="00A736FE">
        <w:rPr>
          <w:vertAlign w:val="subscript"/>
        </w:rPr>
        <w:t>2.5</w:t>
      </w:r>
      <w:r w:rsidR="00A736FE">
        <w:t xml:space="preserve"> </w:t>
      </w:r>
      <w:r>
        <w:t>at individual monitor sites.  These can be u</w:t>
      </w:r>
      <w:r w:rsidRPr="000052B0">
        <w:t xml:space="preserve">sed to assess model performance for a range of </w:t>
      </w:r>
      <w:r>
        <w:t xml:space="preserve">observed </w:t>
      </w:r>
      <w:r w:rsidR="00A736FE">
        <w:t>fine particulate</w:t>
      </w:r>
      <w:r w:rsidRPr="000052B0">
        <w:t xml:space="preserve"> levels.</w:t>
      </w:r>
      <w:r w:rsidR="00A736FE">
        <w:t xml:space="preserve"> As always</w:t>
      </w:r>
      <w:r>
        <w:t xml:space="preserve">, it may be useful to aggregate the model/observed pairs by geographic region (e.g., State) or time period (e.g., month/season) to assess whether there are important variations in performance across the domain. </w:t>
      </w:r>
    </w:p>
    <w:p w14:paraId="22E3D96B" w14:textId="5E876BF0" w:rsidR="001F5F3E" w:rsidRPr="000052B0" w:rsidRDefault="001F5F3E" w:rsidP="00A736FE">
      <w:pPr>
        <w:pStyle w:val="ListParagraph"/>
        <w:numPr>
          <w:ilvl w:val="0"/>
          <w:numId w:val="33"/>
        </w:numPr>
      </w:pPr>
      <w:r w:rsidRPr="008968B1">
        <w:t xml:space="preserve">Spatial plots of modeled and observed </w:t>
      </w:r>
      <w:r w:rsidR="00A736FE">
        <w:t>daily PM</w:t>
      </w:r>
      <w:r w:rsidR="00A736FE" w:rsidRPr="00A736FE">
        <w:rPr>
          <w:vertAlign w:val="subscript"/>
        </w:rPr>
        <w:t>2.5</w:t>
      </w:r>
      <w:r w:rsidR="00A736FE">
        <w:t xml:space="preserve"> components and total PM</w:t>
      </w:r>
      <w:r w:rsidR="00A736FE" w:rsidRPr="00A736FE">
        <w:rPr>
          <w:vertAlign w:val="subscript"/>
        </w:rPr>
        <w:t>2.5</w:t>
      </w:r>
      <w:r>
        <w:t>. C</w:t>
      </w:r>
      <w:r w:rsidRPr="008968B1">
        <w:t>an be used to assess performance on days most relevant to the NAAQS.</w:t>
      </w:r>
      <w:r w:rsidR="00A736FE" w:rsidRPr="000052B0">
        <w:t xml:space="preserve"> </w:t>
      </w:r>
    </w:p>
    <w:p w14:paraId="1A189F10" w14:textId="3BA74CCD" w:rsidR="001F5F3E" w:rsidRPr="00CB5281" w:rsidRDefault="001F5F3E" w:rsidP="001F5F3E">
      <w:pPr>
        <w:pStyle w:val="NoSpacing"/>
        <w:rPr>
          <w:rFonts w:eastAsia="TT15Ct00" w:cs="TT15Ct00"/>
          <w:color w:val="000000" w:themeColor="text1"/>
          <w:u w:val="single"/>
        </w:rPr>
      </w:pPr>
      <w:r>
        <w:rPr>
          <w:rFonts w:eastAsia="TT15Ct00" w:cs="TT15Ct00"/>
          <w:color w:val="000000" w:themeColor="text1"/>
          <w:u w:val="single"/>
        </w:rPr>
        <w:t>Additional</w:t>
      </w:r>
      <w:r w:rsidRPr="00CB5281">
        <w:rPr>
          <w:rFonts w:eastAsia="TT15Ct00" w:cs="TT15Ct00"/>
          <w:color w:val="000000" w:themeColor="text1"/>
          <w:u w:val="single"/>
        </w:rPr>
        <w:t xml:space="preserve"> </w:t>
      </w:r>
      <w:r>
        <w:rPr>
          <w:rFonts w:eastAsia="TT15Ct00" w:cs="TT15Ct00"/>
          <w:color w:val="000000" w:themeColor="text1"/>
          <w:u w:val="single"/>
        </w:rPr>
        <w:t xml:space="preserve">graphical </w:t>
      </w:r>
      <w:r w:rsidR="00A736FE">
        <w:rPr>
          <w:rFonts w:eastAsia="TT15Ct00" w:cs="TT15Ct00"/>
          <w:color w:val="000000" w:themeColor="text1"/>
          <w:u w:val="single"/>
        </w:rPr>
        <w:t>analyses</w:t>
      </w:r>
      <w:r w:rsidRPr="00CB5281">
        <w:rPr>
          <w:rFonts w:eastAsia="TT15Ct00" w:cs="TT15Ct00"/>
          <w:color w:val="000000" w:themeColor="text1"/>
          <w:u w:val="single"/>
        </w:rPr>
        <w:t xml:space="preserve"> </w:t>
      </w:r>
      <w:r w:rsidR="00A736FE" w:rsidRPr="00CB5281">
        <w:rPr>
          <w:rFonts w:eastAsia="TT15Ct00" w:cs="TT15Ct00"/>
          <w:color w:val="000000" w:themeColor="text1"/>
          <w:u w:val="single"/>
        </w:rPr>
        <w:t xml:space="preserve">for </w:t>
      </w:r>
      <w:r w:rsidR="00A736FE">
        <w:rPr>
          <w:rFonts w:eastAsia="TT15Ct00" w:cs="TT15Ct00"/>
          <w:color w:val="000000" w:themeColor="text1"/>
          <w:u w:val="single"/>
        </w:rPr>
        <w:t>total PM</w:t>
      </w:r>
      <w:r w:rsidR="00A736FE" w:rsidRPr="001F5F3E">
        <w:rPr>
          <w:rFonts w:eastAsia="TT15Ct00" w:cs="TT15Ct00"/>
          <w:color w:val="000000" w:themeColor="text1"/>
          <w:u w:val="single"/>
          <w:vertAlign w:val="subscript"/>
        </w:rPr>
        <w:t>2.5</w:t>
      </w:r>
      <w:r w:rsidR="00A736FE">
        <w:rPr>
          <w:rFonts w:eastAsia="TT15Ct00" w:cs="TT15Ct00"/>
          <w:color w:val="000000" w:themeColor="text1"/>
          <w:u w:val="single"/>
        </w:rPr>
        <w:t xml:space="preserve"> and PM</w:t>
      </w:r>
      <w:r w:rsidR="00A736FE" w:rsidRPr="001F5F3E">
        <w:rPr>
          <w:rFonts w:eastAsia="TT15Ct00" w:cs="TT15Ct00"/>
          <w:color w:val="000000" w:themeColor="text1"/>
          <w:u w:val="single"/>
          <w:vertAlign w:val="subscript"/>
        </w:rPr>
        <w:t>2.5</w:t>
      </w:r>
      <w:r w:rsidR="00A736FE">
        <w:rPr>
          <w:rFonts w:eastAsia="TT15Ct00" w:cs="TT15Ct00"/>
          <w:color w:val="000000" w:themeColor="text1"/>
          <w:u w:val="single"/>
        </w:rPr>
        <w:t xml:space="preserve"> components</w:t>
      </w:r>
      <w:r w:rsidRPr="00CB5281">
        <w:rPr>
          <w:rFonts w:eastAsia="TT15Ct00" w:cs="TT15Ct00"/>
          <w:color w:val="000000" w:themeColor="text1"/>
          <w:u w:val="single"/>
        </w:rPr>
        <w:t>:</w:t>
      </w:r>
    </w:p>
    <w:p w14:paraId="3D9AE8D7" w14:textId="719D90C7" w:rsidR="001F5F3E" w:rsidRPr="000052B0" w:rsidRDefault="001F5F3E" w:rsidP="00A736FE">
      <w:pPr>
        <w:pStyle w:val="ListParagraph"/>
        <w:numPr>
          <w:ilvl w:val="0"/>
          <w:numId w:val="34"/>
        </w:numPr>
      </w:pPr>
      <w:r w:rsidRPr="000052B0">
        <w:t xml:space="preserve">Time-series plots of modeled and observed </w:t>
      </w:r>
      <w:r>
        <w:t xml:space="preserve">hourly </w:t>
      </w:r>
      <w:r w:rsidR="008E37FB">
        <w:t>total PM</w:t>
      </w:r>
      <w:r w:rsidR="008E37FB" w:rsidRPr="008E37FB">
        <w:rPr>
          <w:vertAlign w:val="subscript"/>
        </w:rPr>
        <w:t>2.5</w:t>
      </w:r>
      <w:r w:rsidR="008E37FB">
        <w:t xml:space="preserve"> or PM</w:t>
      </w:r>
      <w:r w:rsidR="008E37FB" w:rsidRPr="008E37FB">
        <w:rPr>
          <w:vertAlign w:val="subscript"/>
        </w:rPr>
        <w:t>2.5</w:t>
      </w:r>
      <w:r w:rsidR="008E37FB">
        <w:t xml:space="preserve"> components</w:t>
      </w:r>
      <w:r w:rsidRPr="000052B0">
        <w:t xml:space="preserve"> at individual monitor sites for time periods with measurements.  Can be used to identify particular times of day or days of the week when the model performs well or poorly. </w:t>
      </w:r>
    </w:p>
    <w:p w14:paraId="7AE34EE4" w14:textId="0C3B62E5" w:rsidR="001F5F3E" w:rsidRDefault="001F5F3E" w:rsidP="00A736FE">
      <w:pPr>
        <w:pStyle w:val="ListParagraph"/>
        <w:numPr>
          <w:ilvl w:val="0"/>
          <w:numId w:val="34"/>
        </w:numPr>
      </w:pPr>
      <w:r>
        <w:t>S</w:t>
      </w:r>
      <w:r w:rsidRPr="00CB5281">
        <w:t xml:space="preserve">patial plots of modeled and observed </w:t>
      </w:r>
      <w:r w:rsidR="008E37FB">
        <w:t>hourly total PM</w:t>
      </w:r>
      <w:r w:rsidR="008E37FB" w:rsidRPr="008E37FB">
        <w:rPr>
          <w:vertAlign w:val="subscript"/>
        </w:rPr>
        <w:t>2.5</w:t>
      </w:r>
      <w:r w:rsidR="008E37FB">
        <w:t xml:space="preserve"> or PM</w:t>
      </w:r>
      <w:r w:rsidR="008E37FB" w:rsidRPr="008E37FB">
        <w:rPr>
          <w:vertAlign w:val="subscript"/>
        </w:rPr>
        <w:t>2.5</w:t>
      </w:r>
      <w:r w:rsidR="008E37FB">
        <w:t xml:space="preserve"> components</w:t>
      </w:r>
      <w:r w:rsidR="008E37FB" w:rsidRPr="000052B0">
        <w:t xml:space="preserve"> at individual monitor sites for</w:t>
      </w:r>
      <w:r w:rsidR="008E37FB">
        <w:t xml:space="preserve"> time periods with measurements</w:t>
      </w:r>
      <w:r w:rsidRPr="00CB5281">
        <w:t xml:space="preserve">.  Can be used to identify </w:t>
      </w:r>
      <w:r>
        <w:t>specific hours (and locations within days) with good/poor performance.</w:t>
      </w:r>
    </w:p>
    <w:p w14:paraId="5121D44A" w14:textId="77777777" w:rsidR="008E37FB" w:rsidRDefault="001F5F3E" w:rsidP="008E37FB">
      <w:pPr>
        <w:pStyle w:val="ListParagraph"/>
        <w:numPr>
          <w:ilvl w:val="0"/>
          <w:numId w:val="34"/>
        </w:numPr>
      </w:pPr>
      <w:r w:rsidRPr="00620A7A">
        <w:t xml:space="preserve">Q-Q plots of </w:t>
      </w:r>
      <w:r w:rsidR="008E37FB">
        <w:t>hourly total PM</w:t>
      </w:r>
      <w:r w:rsidR="008E37FB" w:rsidRPr="008E37FB">
        <w:rPr>
          <w:vertAlign w:val="subscript"/>
        </w:rPr>
        <w:t>2.5</w:t>
      </w:r>
      <w:r w:rsidR="008E37FB">
        <w:t xml:space="preserve"> or PM</w:t>
      </w:r>
      <w:r w:rsidR="008E37FB" w:rsidRPr="008E37FB">
        <w:rPr>
          <w:vertAlign w:val="subscript"/>
        </w:rPr>
        <w:t>2.5</w:t>
      </w:r>
      <w:r w:rsidR="008E37FB">
        <w:t xml:space="preserve"> components</w:t>
      </w:r>
      <w:r w:rsidR="008E37FB" w:rsidRPr="000052B0">
        <w:t xml:space="preserve"> at individual monitor sites for</w:t>
      </w:r>
      <w:r w:rsidR="008E37FB">
        <w:t xml:space="preserve"> time periods with measurements.  These plots can be u</w:t>
      </w:r>
      <w:r w:rsidRPr="00620A7A">
        <w:t>sed to assess the dynamic range of the model.</w:t>
      </w:r>
    </w:p>
    <w:p w14:paraId="1B9F839E" w14:textId="19D9F540" w:rsidR="008E37FB" w:rsidRDefault="008E37FB" w:rsidP="00E328CF">
      <w:pPr>
        <w:pStyle w:val="ListParagraph"/>
        <w:numPr>
          <w:ilvl w:val="0"/>
          <w:numId w:val="34"/>
        </w:numPr>
        <w:spacing w:after="0"/>
      </w:pPr>
      <w:r>
        <w:t>Bugle plots of hourly and 24-hour PM</w:t>
      </w:r>
      <w:r w:rsidRPr="008E37FB">
        <w:rPr>
          <w:vertAlign w:val="subscript"/>
        </w:rPr>
        <w:t xml:space="preserve">2.5 </w:t>
      </w:r>
      <w:r>
        <w:t>at individual monitor sites for time periods with measurements: Used to assess the model performance as concentrations increase/decrease in magnitude.</w:t>
      </w:r>
    </w:p>
    <w:p w14:paraId="3C01ECB9" w14:textId="77777777" w:rsidR="008E37FB" w:rsidRDefault="008E37FB" w:rsidP="00E328CF">
      <w:pPr>
        <w:pStyle w:val="ListParagraph"/>
        <w:spacing w:after="0"/>
      </w:pPr>
      <w:bookmarkStart w:id="0" w:name="_GoBack"/>
      <w:bookmarkEnd w:id="0"/>
    </w:p>
    <w:p w14:paraId="67AEEE81" w14:textId="1CBCCCA4" w:rsidR="008E37FB" w:rsidRPr="00CB5281" w:rsidRDefault="008E37FB" w:rsidP="008E37FB">
      <w:pPr>
        <w:pStyle w:val="NoSpacing"/>
        <w:rPr>
          <w:rFonts w:eastAsia="TT15Ct00" w:cs="TT15Ct00"/>
          <w:color w:val="000000" w:themeColor="text1"/>
          <w:u w:val="single"/>
        </w:rPr>
      </w:pPr>
      <w:r w:rsidRPr="00CB5281">
        <w:rPr>
          <w:rFonts w:eastAsia="TT15Ct00" w:cs="TT15Ct00"/>
          <w:color w:val="000000" w:themeColor="text1"/>
          <w:u w:val="single"/>
        </w:rPr>
        <w:t xml:space="preserve">Recommended </w:t>
      </w:r>
      <w:r>
        <w:rPr>
          <w:rFonts w:eastAsia="TT15Ct00" w:cs="TT15Ct00"/>
          <w:color w:val="000000" w:themeColor="text1"/>
          <w:u w:val="single"/>
        </w:rPr>
        <w:t xml:space="preserve">statistical </w:t>
      </w:r>
      <w:r w:rsidRPr="00CB5281">
        <w:rPr>
          <w:rFonts w:eastAsia="TT15Ct00" w:cs="TT15Ct00"/>
          <w:color w:val="000000" w:themeColor="text1"/>
          <w:u w:val="single"/>
        </w:rPr>
        <w:t xml:space="preserve">analyses for </w:t>
      </w:r>
      <w:r w:rsidR="00F91B2A">
        <w:rPr>
          <w:rFonts w:eastAsia="TT15Ct00" w:cs="TT15Ct00"/>
          <w:color w:val="000000" w:themeColor="text1"/>
          <w:u w:val="single"/>
        </w:rPr>
        <w:t>SO</w:t>
      </w:r>
      <w:r w:rsidR="00F91B2A" w:rsidRPr="00F91B2A">
        <w:rPr>
          <w:rFonts w:eastAsia="TT15Ct00" w:cs="TT15Ct00"/>
          <w:color w:val="000000" w:themeColor="text1"/>
          <w:u w:val="single"/>
          <w:vertAlign w:val="subscript"/>
        </w:rPr>
        <w:t>4</w:t>
      </w:r>
      <w:r w:rsidR="00F91B2A">
        <w:rPr>
          <w:rFonts w:eastAsia="TT15Ct00" w:cs="TT15Ct00"/>
          <w:color w:val="000000" w:themeColor="text1"/>
          <w:u w:val="single"/>
        </w:rPr>
        <w:t>, NO</w:t>
      </w:r>
      <w:r w:rsidR="00F91B2A" w:rsidRPr="00F91B2A">
        <w:rPr>
          <w:rFonts w:eastAsia="TT15Ct00" w:cs="TT15Ct00"/>
          <w:color w:val="000000" w:themeColor="text1"/>
          <w:u w:val="single"/>
          <w:vertAlign w:val="subscript"/>
        </w:rPr>
        <w:t>3</w:t>
      </w:r>
      <w:r w:rsidR="00F91B2A">
        <w:rPr>
          <w:rFonts w:eastAsia="TT15Ct00" w:cs="TT15Ct00"/>
          <w:color w:val="000000" w:themeColor="text1"/>
          <w:u w:val="single"/>
        </w:rPr>
        <w:t xml:space="preserve"> and NH</w:t>
      </w:r>
      <w:r w:rsidR="00F91B2A" w:rsidRPr="00F91B2A">
        <w:rPr>
          <w:rFonts w:eastAsia="TT15Ct00" w:cs="TT15Ct00"/>
          <w:color w:val="000000" w:themeColor="text1"/>
          <w:u w:val="single"/>
          <w:vertAlign w:val="subscript"/>
        </w:rPr>
        <w:t>4</w:t>
      </w:r>
      <w:r>
        <w:rPr>
          <w:rFonts w:eastAsia="TT15Ct00" w:cs="TT15Ct00"/>
          <w:color w:val="000000" w:themeColor="text1"/>
          <w:u w:val="single"/>
        </w:rPr>
        <w:t xml:space="preserve"> deposition</w:t>
      </w:r>
      <w:r w:rsidRPr="00CB5281">
        <w:rPr>
          <w:rFonts w:eastAsia="TT15Ct00" w:cs="TT15Ct00"/>
          <w:color w:val="000000" w:themeColor="text1"/>
          <w:u w:val="single"/>
        </w:rPr>
        <w:t>:</w:t>
      </w:r>
    </w:p>
    <w:p w14:paraId="301F1B38" w14:textId="77777777" w:rsidR="00F91B2A" w:rsidRDefault="00F91B2A" w:rsidP="00F91B2A">
      <w:pPr>
        <w:pStyle w:val="ListParagraph"/>
        <w:numPr>
          <w:ilvl w:val="0"/>
          <w:numId w:val="37"/>
        </w:numPr>
      </w:pPr>
      <w:r w:rsidRPr="00F91B2A">
        <w:t xml:space="preserve">Weekly spatial plots of modeled and observed data for NADP wet deposition.  These plots can be used to identify time periods where the model accurately simulates observed levels but misplaces the location of the high concentrations.  </w:t>
      </w:r>
    </w:p>
    <w:p w14:paraId="12038214" w14:textId="15725187" w:rsidR="00F91B2A" w:rsidRPr="00F91B2A" w:rsidRDefault="00F91B2A" w:rsidP="00F91B2A">
      <w:pPr>
        <w:pStyle w:val="ListParagraph"/>
        <w:numPr>
          <w:ilvl w:val="0"/>
          <w:numId w:val="37"/>
        </w:numPr>
      </w:pPr>
      <w:r>
        <w:t>Scatter plots of weekly</w:t>
      </w:r>
      <w:r w:rsidRPr="00F91B2A">
        <w:t xml:space="preserve"> and seasonal averages at individual monitor sites for wet </w:t>
      </w:r>
      <w:r>
        <w:t>deposition.  Can be u</w:t>
      </w:r>
      <w:r w:rsidRPr="00F91B2A">
        <w:t>sed to assess the model performance for a range of concentration levels.</w:t>
      </w:r>
    </w:p>
    <w:p w14:paraId="4A023EB2" w14:textId="0C15AC91" w:rsidR="00870C99" w:rsidRDefault="00F91B2A" w:rsidP="00F91B2A">
      <w:pPr>
        <w:pStyle w:val="NoSpacing"/>
        <w:tabs>
          <w:tab w:val="left" w:pos="900"/>
        </w:tabs>
        <w:rPr>
          <w:b/>
        </w:rPr>
      </w:pPr>
      <w:r w:rsidRPr="00F91B2A">
        <w:t>If issues are identified as part of the operational</w:t>
      </w:r>
      <w:r>
        <w:t xml:space="preserve"> photochemical grid model </w:t>
      </w:r>
      <w:r w:rsidRPr="00F91B2A">
        <w:t xml:space="preserve">evaluation (e.g., </w:t>
      </w:r>
      <w:r>
        <w:t xml:space="preserve">consistent spatial </w:t>
      </w:r>
      <w:r w:rsidRPr="00F91B2A">
        <w:t>bias during periods with poor air quality, seasonal biases</w:t>
      </w:r>
      <w:r>
        <w:t xml:space="preserve"> in a particular ozone precursor or PM</w:t>
      </w:r>
      <w:r w:rsidRPr="00F91B2A">
        <w:rPr>
          <w:vertAlign w:val="subscript"/>
        </w:rPr>
        <w:t>2.5</w:t>
      </w:r>
      <w:r>
        <w:t xml:space="preserve"> component</w:t>
      </w:r>
      <w:r w:rsidRPr="00F91B2A">
        <w:t>, etc.), additional diagnostic assessments may be needed. Analy</w:t>
      </w:r>
      <w:r>
        <w:t>ses for diagnostic evaluations c</w:t>
      </w:r>
      <w:r w:rsidRPr="00F91B2A">
        <w:t xml:space="preserve">ould include re-running the </w:t>
      </w:r>
      <w:r>
        <w:t>air quality</w:t>
      </w:r>
      <w:r w:rsidRPr="00F91B2A">
        <w:t xml:space="preserve"> model with different </w:t>
      </w:r>
      <w:r>
        <w:t>boundary conditions, emissions inputs, or meteorological inputs</w:t>
      </w:r>
      <w:r w:rsidRPr="00F91B2A">
        <w:t xml:space="preserve"> based on issues id</w:t>
      </w:r>
      <w:r>
        <w:t xml:space="preserve">entified during the other portions of the platform </w:t>
      </w:r>
      <w:r w:rsidRPr="00F91B2A">
        <w:t xml:space="preserve">evaluation. Testing various configuration options should be conducted in an iterative approach to better understand which </w:t>
      </w:r>
      <w:r>
        <w:t>inputs or parameters are most relevant to</w:t>
      </w:r>
      <w:r w:rsidRPr="00F91B2A">
        <w:t xml:space="preserve"> model performance. Similar graphical displays and/or statistical analyses outlined for the operational evaluation should be completed for the diagnostic evaluation. </w:t>
      </w:r>
      <w:r>
        <w:t>Two specific analyses</w:t>
      </w:r>
      <w:r w:rsidRPr="00F91B2A">
        <w:t xml:space="preserve"> that could be completed as part of the diagnostic evaluation include</w:t>
      </w:r>
      <w:r>
        <w:t>:</w:t>
      </w:r>
    </w:p>
    <w:p w14:paraId="532C06A8" w14:textId="77777777" w:rsidR="00870C99" w:rsidRPr="000415DC" w:rsidRDefault="00870C99" w:rsidP="00870C99">
      <w:pPr>
        <w:pStyle w:val="NoSpacing"/>
        <w:tabs>
          <w:tab w:val="left" w:pos="900"/>
        </w:tabs>
        <w:rPr>
          <w:b/>
        </w:rPr>
      </w:pPr>
    </w:p>
    <w:p w14:paraId="6A0395FA" w14:textId="77777777" w:rsidR="00F91B2A" w:rsidRDefault="00870C99" w:rsidP="00F91B2A">
      <w:pPr>
        <w:pStyle w:val="NoSpacing"/>
        <w:numPr>
          <w:ilvl w:val="0"/>
          <w:numId w:val="38"/>
        </w:numPr>
        <w:tabs>
          <w:tab w:val="left" w:pos="360"/>
        </w:tabs>
      </w:pPr>
      <w:r w:rsidRPr="00681E5F">
        <w:t xml:space="preserve">Plots of Indicator Ratios: Ratios of species can be useful for assessing if the model accurately represent the relative emissions rates of precursors. For example, the model may be biased in simulating absolute concentrations of VOC and NOx due to errors in dispersion but may accurately represent the ratio </w:t>
      </w:r>
      <w:r w:rsidRPr="00681E5F">
        <w:lastRenderedPageBreak/>
        <w:t>VOC/NOx. Indicator ratios are useful for assessing whether the model accurately represents different chemic</w:t>
      </w:r>
      <w:r>
        <w:t>al regimes of ozone</w:t>
      </w:r>
      <w:r w:rsidRPr="00681E5F">
        <w:t xml:space="preserve"> sensitivity to VOC and NOx. </w:t>
      </w:r>
    </w:p>
    <w:p w14:paraId="687057AF" w14:textId="269D8F7C" w:rsidR="00870C99" w:rsidRPr="00F20418" w:rsidRDefault="00870C99" w:rsidP="00F91B2A">
      <w:pPr>
        <w:pStyle w:val="NoSpacing"/>
        <w:numPr>
          <w:ilvl w:val="0"/>
          <w:numId w:val="38"/>
        </w:numPr>
        <w:tabs>
          <w:tab w:val="left" w:pos="360"/>
        </w:tabs>
      </w:pPr>
      <w:r>
        <w:t>Process Analysis: Provides diagnostic information on the chemical reactions and physical processes that determine species concentrations. Processes include: Emissions, Deposition, Advection, Vertical Mixing, and Net Change from Chemistry. For instance, plots comparing modeled ozone concentrations, output rates of ozone, daily total odd oxygen production rates, and net ozone production in NOx limited and oxidant limited chemical regimes.</w:t>
      </w:r>
    </w:p>
    <w:p w14:paraId="05963E99" w14:textId="77777777" w:rsidR="00F91B2A" w:rsidRDefault="00F91B2A" w:rsidP="00764C2B">
      <w:pPr>
        <w:pStyle w:val="NoSpacing"/>
      </w:pPr>
    </w:p>
    <w:p w14:paraId="08A83A03" w14:textId="0432951B" w:rsidR="00A90975" w:rsidRPr="00ED14B3" w:rsidRDefault="00ED14B3" w:rsidP="00A90975">
      <w:pPr>
        <w:pStyle w:val="NoSpacing"/>
        <w:rPr>
          <w:b/>
        </w:rPr>
      </w:pPr>
      <w:r w:rsidRPr="00ED14B3">
        <w:rPr>
          <w:b/>
        </w:rPr>
        <w:t xml:space="preserve">SUMMARIZING AND INTERPRETING RESULTS OF MODEL </w:t>
      </w:r>
      <w:r w:rsidR="00870C99">
        <w:rPr>
          <w:b/>
        </w:rPr>
        <w:t xml:space="preserve">PLATFORM </w:t>
      </w:r>
      <w:r w:rsidRPr="00ED14B3">
        <w:rPr>
          <w:b/>
        </w:rPr>
        <w:t>PERFORMANCE EVALUATION</w:t>
      </w:r>
      <w:r w:rsidR="006B0449" w:rsidRPr="00ED14B3">
        <w:rPr>
          <w:b/>
        </w:rPr>
        <w:t xml:space="preserve"> </w:t>
      </w:r>
    </w:p>
    <w:p w14:paraId="23A267F6" w14:textId="77777777" w:rsidR="006B0449" w:rsidRDefault="006B0449" w:rsidP="00A90975">
      <w:pPr>
        <w:pStyle w:val="NoSpacing"/>
      </w:pPr>
    </w:p>
    <w:p w14:paraId="53DF1CBF" w14:textId="7F5D78C6" w:rsidR="0062618D" w:rsidRDefault="004F4712" w:rsidP="006D5FD8">
      <w:pPr>
        <w:pStyle w:val="NoSpacing"/>
      </w:pPr>
      <w:r>
        <w:t>T</w:t>
      </w:r>
      <w:r w:rsidR="00F91B2A">
        <w:t>he goal of the preceding</w:t>
      </w:r>
      <w:r w:rsidR="00412FC8">
        <w:t xml:space="preserve"> evaluation methods is to assess the degree of confidence in the use of the model</w:t>
      </w:r>
      <w:r w:rsidR="00F91B2A">
        <w:t xml:space="preserve"> platform</w:t>
      </w:r>
      <w:r w:rsidR="00412FC8">
        <w:t xml:space="preserve"> as a tool to inform the planning process, and more specifically, to determine how reliably the model predicts the response of </w:t>
      </w:r>
      <w:r w:rsidR="00412FC8">
        <w:t>ozone and/or PM</w:t>
      </w:r>
      <w:r w:rsidR="00412FC8">
        <w:rPr>
          <w:sz w:val="16"/>
          <w:szCs w:val="16"/>
        </w:rPr>
        <w:t xml:space="preserve">2.5 </w:t>
      </w:r>
      <w:r w:rsidR="00412FC8">
        <w:t xml:space="preserve">to changes in emissions. </w:t>
      </w:r>
      <w:r w:rsidR="00E11261">
        <w:t>Once all of the graphical displays</w:t>
      </w:r>
      <w:r w:rsidR="00744AAB">
        <w:t xml:space="preserve"> and</w:t>
      </w:r>
      <w:r w:rsidR="00E11261">
        <w:t xml:space="preserve"> statistical analyses are generated</w:t>
      </w:r>
      <w:r w:rsidR="00744AAB">
        <w:t xml:space="preserve"> for</w:t>
      </w:r>
      <w:r w:rsidR="00E11261">
        <w:t xml:space="preserve"> the</w:t>
      </w:r>
      <w:r>
        <w:t xml:space="preserve"> </w:t>
      </w:r>
      <w:r w:rsidR="00F91B2A">
        <w:t>MPE</w:t>
      </w:r>
      <w:r w:rsidR="005508B4">
        <w:t xml:space="preserve"> associated with each model component</w:t>
      </w:r>
      <w:r w:rsidR="00E11261">
        <w:t xml:space="preserve">, it is important to compile all of the </w:t>
      </w:r>
      <w:r w:rsidR="005508B4">
        <w:t>analyses</w:t>
      </w:r>
      <w:r w:rsidR="00E11261">
        <w:t xml:space="preserve"> into comprehensive assessment</w:t>
      </w:r>
      <w:r w:rsidR="005508B4">
        <w:t>s</w:t>
      </w:r>
      <w:r w:rsidR="00E11261">
        <w:t xml:space="preserve"> </w:t>
      </w:r>
      <w:r w:rsidR="005508B4">
        <w:t xml:space="preserve">that describe </w:t>
      </w:r>
      <w:r w:rsidR="00E11261">
        <w:t>the strengths and weaknesses</w:t>
      </w:r>
      <w:r w:rsidR="00D83C2F">
        <w:t xml:space="preserve"> </w:t>
      </w:r>
      <w:r w:rsidR="00E11261">
        <w:t xml:space="preserve">and how the model </w:t>
      </w:r>
      <w:r w:rsidR="00D83C2F">
        <w:t xml:space="preserve">platform </w:t>
      </w:r>
      <w:r w:rsidR="00E11261">
        <w:t xml:space="preserve">should be used in light of the evaluation findings. </w:t>
      </w:r>
    </w:p>
    <w:p w14:paraId="15BF01B6" w14:textId="77777777" w:rsidR="0062618D" w:rsidRDefault="0062618D" w:rsidP="006D5FD8">
      <w:pPr>
        <w:pStyle w:val="NoSpacing"/>
      </w:pPr>
    </w:p>
    <w:p w14:paraId="2F3013E4" w14:textId="314341E3" w:rsidR="00D83C2F" w:rsidRDefault="00D83C2F" w:rsidP="006D5FD8">
      <w:pPr>
        <w:pStyle w:val="NoSpacing"/>
      </w:pPr>
      <w:r>
        <w:t xml:space="preserve">This section outlines an approach for summarizing and interpreting the results of the MPE </w:t>
      </w:r>
      <w:r w:rsidR="005508B4">
        <w:t xml:space="preserve">associated with each model component </w:t>
      </w:r>
      <w:r>
        <w:t>to assist the 3SAQS</w:t>
      </w:r>
      <w:r w:rsidR="0062618D">
        <w:t xml:space="preserve"> </w:t>
      </w:r>
      <w:r>
        <w:t>in documenting the model performance and determining the adequacy of the model platform for use in NEPA and air quality planning projects. The</w:t>
      </w:r>
      <w:r w:rsidR="005508B4">
        <w:t xml:space="preserve"> model performance assessments </w:t>
      </w:r>
      <w:r>
        <w:t>should include:</w:t>
      </w:r>
    </w:p>
    <w:p w14:paraId="4BBED6DF" w14:textId="77777777" w:rsidR="006C1794" w:rsidRDefault="006C1794" w:rsidP="006C1794">
      <w:pPr>
        <w:pStyle w:val="NoSpacing"/>
      </w:pPr>
    </w:p>
    <w:p w14:paraId="73005E8A" w14:textId="4428EDA5" w:rsidR="00EB57B7" w:rsidRDefault="00EB57B7" w:rsidP="00817839">
      <w:pPr>
        <w:pStyle w:val="NoSpacing"/>
        <w:numPr>
          <w:ilvl w:val="0"/>
          <w:numId w:val="13"/>
        </w:numPr>
        <w:ind w:left="360"/>
      </w:pPr>
      <w:r>
        <w:t xml:space="preserve">A </w:t>
      </w:r>
      <w:r w:rsidR="005508B4">
        <w:t>stand-alone report</w:t>
      </w:r>
      <w:r>
        <w:t xml:space="preserve"> that summarizes the assessment of the boundary conditions used in the modeling</w:t>
      </w:r>
      <w:r w:rsidR="005508B4">
        <w:t>, including</w:t>
      </w:r>
      <w:r>
        <w:t>:</w:t>
      </w:r>
    </w:p>
    <w:p w14:paraId="27E5640F" w14:textId="77777777" w:rsidR="00EB57B7" w:rsidRDefault="00EB57B7" w:rsidP="005508B4">
      <w:pPr>
        <w:pStyle w:val="NoSpacing"/>
        <w:numPr>
          <w:ilvl w:val="1"/>
          <w:numId w:val="13"/>
        </w:numPr>
        <w:ind w:left="900"/>
      </w:pPr>
      <w:r>
        <w:t>Description of the boundary conditions used in the modeling</w:t>
      </w:r>
    </w:p>
    <w:p w14:paraId="13DC797A" w14:textId="1FC61DA8" w:rsidR="00EB57B7" w:rsidRDefault="00EB57B7" w:rsidP="005508B4">
      <w:pPr>
        <w:pStyle w:val="NoSpacing"/>
        <w:numPr>
          <w:ilvl w:val="1"/>
          <w:numId w:val="13"/>
        </w:numPr>
        <w:ind w:left="900"/>
      </w:pPr>
      <w:r>
        <w:t>Description of the expected influence of boundary conditions on simulated concentrations within the domain,</w:t>
      </w:r>
    </w:p>
    <w:p w14:paraId="72C1B33F" w14:textId="6C851B58" w:rsidR="00EB57B7" w:rsidRDefault="00EB57B7" w:rsidP="005508B4">
      <w:pPr>
        <w:pStyle w:val="NoSpacing"/>
        <w:numPr>
          <w:ilvl w:val="1"/>
          <w:numId w:val="13"/>
        </w:numPr>
        <w:ind w:left="900"/>
      </w:pPr>
      <w:r>
        <w:t>Description of any diagnostic analyses completed to investigate and improve the boundary condition inputs.</w:t>
      </w:r>
    </w:p>
    <w:p w14:paraId="14B87DF7" w14:textId="6DCEEF86" w:rsidR="0062618D" w:rsidRDefault="00EB57B7" w:rsidP="00817839">
      <w:pPr>
        <w:pStyle w:val="NoSpacing"/>
        <w:numPr>
          <w:ilvl w:val="0"/>
          <w:numId w:val="13"/>
        </w:numPr>
        <w:ind w:left="360"/>
      </w:pPr>
      <w:r>
        <w:t xml:space="preserve">A </w:t>
      </w:r>
      <w:r w:rsidR="005508B4">
        <w:t>stand-alone report</w:t>
      </w:r>
      <w:r w:rsidR="00D83C2F">
        <w:t xml:space="preserve"> that summarize</w:t>
      </w:r>
      <w:r w:rsidR="0062618D">
        <w:t>s</w:t>
      </w:r>
      <w:r>
        <w:t xml:space="preserve"> the assessment</w:t>
      </w:r>
      <w:r w:rsidR="00D83C2F">
        <w:t xml:space="preserve"> of the emissions inventory/modeling</w:t>
      </w:r>
      <w:r w:rsidR="005508B4">
        <w:t>, including</w:t>
      </w:r>
      <w:r w:rsidR="00DF7C6F">
        <w:t>:</w:t>
      </w:r>
    </w:p>
    <w:p w14:paraId="7322882E" w14:textId="443B0312" w:rsidR="00DF7C6F" w:rsidRDefault="00DF7C6F" w:rsidP="00817839">
      <w:pPr>
        <w:pStyle w:val="NoSpacing"/>
        <w:numPr>
          <w:ilvl w:val="1"/>
          <w:numId w:val="13"/>
        </w:numPr>
        <w:ind w:left="900"/>
      </w:pPr>
      <w:r>
        <w:t xml:space="preserve">Summary of the </w:t>
      </w:r>
      <w:r w:rsidR="0069506A">
        <w:t xml:space="preserve">datasets and </w:t>
      </w:r>
      <w:r>
        <w:t xml:space="preserve">model input and configuration. </w:t>
      </w:r>
    </w:p>
    <w:p w14:paraId="31FD76A1" w14:textId="3D8C28AB" w:rsidR="0069506A" w:rsidRDefault="00EB57B7" w:rsidP="00817839">
      <w:pPr>
        <w:pStyle w:val="NoSpacing"/>
        <w:numPr>
          <w:ilvl w:val="1"/>
          <w:numId w:val="13"/>
        </w:numPr>
        <w:ind w:left="900"/>
      </w:pPr>
      <w:r>
        <w:t>Sample g</w:t>
      </w:r>
      <w:r w:rsidR="0069506A">
        <w:t>raphical displays that characterize individual pollutants by various source categories across the m</w:t>
      </w:r>
      <w:r>
        <w:t>odel domain</w:t>
      </w:r>
      <w:r w:rsidR="0069506A">
        <w:t>.</w:t>
      </w:r>
    </w:p>
    <w:p w14:paraId="0E4527F6" w14:textId="1213A7B3" w:rsidR="0069506A" w:rsidRDefault="0069506A" w:rsidP="00817839">
      <w:pPr>
        <w:pStyle w:val="NoSpacing"/>
        <w:numPr>
          <w:ilvl w:val="1"/>
          <w:numId w:val="13"/>
        </w:numPr>
        <w:ind w:left="900"/>
      </w:pPr>
      <w:r>
        <w:t xml:space="preserve">Comparison </w:t>
      </w:r>
      <w:r w:rsidR="00DD3C98">
        <w:t>to</w:t>
      </w:r>
      <w:r>
        <w:t xml:space="preserve"> emissions inventories and </w:t>
      </w:r>
      <w:r w:rsidR="00EB57B7">
        <w:t xml:space="preserve">used </w:t>
      </w:r>
      <w:r w:rsidR="00DD3C98">
        <w:t xml:space="preserve">in </w:t>
      </w:r>
      <w:r w:rsidR="00EB57B7">
        <w:t xml:space="preserve">previous </w:t>
      </w:r>
      <w:r>
        <w:t>studies (</w:t>
      </w:r>
      <w:r w:rsidR="00EB57B7">
        <w:t>where applicable</w:t>
      </w:r>
      <w:r>
        <w:t>).</w:t>
      </w:r>
    </w:p>
    <w:p w14:paraId="1414FF0F" w14:textId="0B813AB3" w:rsidR="0069506A" w:rsidRDefault="0069506A" w:rsidP="00817839">
      <w:pPr>
        <w:pStyle w:val="NoSpacing"/>
        <w:numPr>
          <w:ilvl w:val="1"/>
          <w:numId w:val="13"/>
        </w:numPr>
        <w:ind w:left="900"/>
      </w:pPr>
      <w:r>
        <w:t>Discussion of any issues or concerns revealed from the characterization and assessment of t</w:t>
      </w:r>
      <w:r w:rsidR="00EB57B7">
        <w:t xml:space="preserve">he emissions inventory that </w:t>
      </w:r>
      <w:r>
        <w:t>warrant</w:t>
      </w:r>
      <w:r w:rsidR="00EB57B7">
        <w:t>ed</w:t>
      </w:r>
      <w:r>
        <w:t xml:space="preserve"> additional investigation.</w:t>
      </w:r>
    </w:p>
    <w:p w14:paraId="1AB61B87" w14:textId="4D184117" w:rsidR="0062618D" w:rsidRDefault="00EB57B7" w:rsidP="00817839">
      <w:pPr>
        <w:pStyle w:val="NoSpacing"/>
        <w:numPr>
          <w:ilvl w:val="0"/>
          <w:numId w:val="13"/>
        </w:numPr>
        <w:ind w:left="360"/>
      </w:pPr>
      <w:r>
        <w:t xml:space="preserve">A </w:t>
      </w:r>
      <w:r w:rsidR="00EF2696">
        <w:t>stand-alone report</w:t>
      </w:r>
      <w:r w:rsidR="0062618D">
        <w:t xml:space="preserve"> that summarizes the</w:t>
      </w:r>
      <w:r w:rsidR="007329C6">
        <w:t xml:space="preserve"> </w:t>
      </w:r>
      <w:r w:rsidR="00D83C2F">
        <w:t>meteorological modeling MPE</w:t>
      </w:r>
      <w:r w:rsidR="00EF2696">
        <w:t>, including</w:t>
      </w:r>
      <w:r w:rsidR="00DF7C6F">
        <w:t>:</w:t>
      </w:r>
    </w:p>
    <w:p w14:paraId="451E6990" w14:textId="6585C5E9" w:rsidR="00AA33E5" w:rsidRDefault="00DF7C6F" w:rsidP="00EB57B7">
      <w:pPr>
        <w:pStyle w:val="NoSpacing"/>
        <w:numPr>
          <w:ilvl w:val="1"/>
          <w:numId w:val="13"/>
        </w:numPr>
        <w:ind w:left="900"/>
      </w:pPr>
      <w:r>
        <w:t xml:space="preserve">Summary of the </w:t>
      </w:r>
      <w:r w:rsidR="00EB57B7">
        <w:t>meteorological model, its in</w:t>
      </w:r>
      <w:r>
        <w:t>put</w:t>
      </w:r>
      <w:r w:rsidR="00EB57B7">
        <w:t>s</w:t>
      </w:r>
      <w:r>
        <w:t xml:space="preserve"> and configuration</w:t>
      </w:r>
      <w:r w:rsidR="00EF2696">
        <w:t>, and discussion of any changes applied to the methodology or configuration since the air quality modeling protocol</w:t>
      </w:r>
      <w:r>
        <w:t xml:space="preserve">. </w:t>
      </w:r>
    </w:p>
    <w:p w14:paraId="7058B34B" w14:textId="5CD223B3" w:rsidR="00EF2696" w:rsidRPr="00E328CF" w:rsidRDefault="00EF2696" w:rsidP="00817839">
      <w:pPr>
        <w:pStyle w:val="NoSpacing"/>
        <w:numPr>
          <w:ilvl w:val="1"/>
          <w:numId w:val="13"/>
        </w:numPr>
        <w:ind w:left="900"/>
      </w:pPr>
      <w:r>
        <w:t>Summary of the observational networks to be used in the meteorological modeling evaluations.  This should include descriptions of monitor locations and density, the periods in which measurements were taken, and any general concerns about the sufficiency of the data for comparisons against model predictions.</w:t>
      </w:r>
    </w:p>
    <w:p w14:paraId="54351D2D" w14:textId="4F03B542" w:rsidR="00AA33E5" w:rsidRPr="00AA33E5" w:rsidRDefault="00AA33E5" w:rsidP="00817839">
      <w:pPr>
        <w:pStyle w:val="NoSpacing"/>
        <w:numPr>
          <w:ilvl w:val="1"/>
          <w:numId w:val="13"/>
        </w:numPr>
        <w:ind w:left="900"/>
      </w:pPr>
      <w:r>
        <w:rPr>
          <w:rFonts w:eastAsia="TT15Ct00" w:cs="TT15Ct00"/>
        </w:rPr>
        <w:t xml:space="preserve">Statistical </w:t>
      </w:r>
      <w:r w:rsidRPr="001C2AF0">
        <w:rPr>
          <w:rFonts w:eastAsia="TT15Ct00" w:cs="TT15Ct00"/>
        </w:rPr>
        <w:t>and graphical</w:t>
      </w:r>
      <w:r>
        <w:rPr>
          <w:rFonts w:eastAsia="TT15Ct00" w:cs="TT15Ct00"/>
        </w:rPr>
        <w:t xml:space="preserve"> </w:t>
      </w:r>
      <w:r w:rsidRPr="001C2AF0">
        <w:rPr>
          <w:rFonts w:eastAsia="TT15Ct00" w:cs="TT15Ct00"/>
        </w:rPr>
        <w:t>comparisons</w:t>
      </w:r>
      <w:r>
        <w:rPr>
          <w:rFonts w:eastAsia="TT15Ct00" w:cs="TT15Ct00"/>
        </w:rPr>
        <w:t xml:space="preserve"> </w:t>
      </w:r>
      <w:r w:rsidR="000415DC">
        <w:rPr>
          <w:rFonts w:eastAsia="TT15Ct00" w:cs="TT15Ct00"/>
        </w:rPr>
        <w:t xml:space="preserve">focused and </w:t>
      </w:r>
      <w:r>
        <w:rPr>
          <w:rFonts w:eastAsia="TT15Ct00" w:cs="TT15Ct00"/>
        </w:rPr>
        <w:t xml:space="preserve">partitioned </w:t>
      </w:r>
      <w:r w:rsidR="000A73CF">
        <w:rPr>
          <w:rFonts w:eastAsia="TT15Ct00" w:cs="TT15Ct00"/>
        </w:rPr>
        <w:t>into th</w:t>
      </w:r>
      <w:r>
        <w:rPr>
          <w:rFonts w:eastAsia="TT15Ct00" w:cs="TT15Ct00"/>
        </w:rPr>
        <w:t>e following subsets</w:t>
      </w:r>
      <w:r w:rsidR="000A73CF">
        <w:rPr>
          <w:rFonts w:eastAsia="TT15Ct00" w:cs="TT15Ct00"/>
        </w:rPr>
        <w:t xml:space="preserve"> </w:t>
      </w:r>
      <w:r w:rsidR="000A73CF">
        <w:t>(additional details provided in subsequent sections)</w:t>
      </w:r>
      <w:r>
        <w:rPr>
          <w:rFonts w:eastAsia="TT15Ct00" w:cs="TT15Ct00"/>
        </w:rPr>
        <w:t>:</w:t>
      </w:r>
    </w:p>
    <w:p w14:paraId="74A6E083" w14:textId="37692C11" w:rsidR="00AA33E5" w:rsidRPr="00AA33E5" w:rsidRDefault="00AA33E5" w:rsidP="00817839">
      <w:pPr>
        <w:pStyle w:val="NoSpacing"/>
        <w:numPr>
          <w:ilvl w:val="2"/>
          <w:numId w:val="17"/>
        </w:numPr>
        <w:ind w:left="1440"/>
      </w:pPr>
      <w:r>
        <w:rPr>
          <w:rFonts w:eastAsia="TT15Ct00" w:cs="TT15Ct00"/>
        </w:rPr>
        <w:t>observational site</w:t>
      </w:r>
    </w:p>
    <w:p w14:paraId="4CB86BA7" w14:textId="50E9E0FD" w:rsidR="00AA33E5" w:rsidRPr="00AA33E5" w:rsidRDefault="00AA33E5" w:rsidP="00817839">
      <w:pPr>
        <w:pStyle w:val="NoSpacing"/>
        <w:numPr>
          <w:ilvl w:val="2"/>
          <w:numId w:val="17"/>
        </w:numPr>
        <w:ind w:left="1440"/>
      </w:pPr>
      <w:r w:rsidRPr="001C2AF0">
        <w:rPr>
          <w:rFonts w:eastAsia="TT15Ct00" w:cs="TT15Ct00"/>
        </w:rPr>
        <w:t>geographic sub</w:t>
      </w:r>
      <w:r>
        <w:rPr>
          <w:rFonts w:eastAsia="TT15Ct00" w:cs="TT15Ct00"/>
        </w:rPr>
        <w:t>-</w:t>
      </w:r>
      <w:r w:rsidRPr="001C2AF0">
        <w:rPr>
          <w:rFonts w:eastAsia="TT15Ct00" w:cs="TT15Ct00"/>
        </w:rPr>
        <w:t>regions</w:t>
      </w:r>
    </w:p>
    <w:p w14:paraId="79DB31B0" w14:textId="2E24B2BE" w:rsidR="00AA33E5" w:rsidRPr="00AA33E5" w:rsidRDefault="00AA33E5" w:rsidP="00817839">
      <w:pPr>
        <w:pStyle w:val="NoSpacing"/>
        <w:numPr>
          <w:ilvl w:val="2"/>
          <w:numId w:val="17"/>
        </w:numPr>
        <w:ind w:left="1440"/>
      </w:pPr>
      <w:r>
        <w:rPr>
          <w:rFonts w:eastAsia="TT15Ct00" w:cs="TT15Ct00"/>
        </w:rPr>
        <w:t>daily/</w:t>
      </w:r>
      <w:r w:rsidRPr="001C2AF0">
        <w:rPr>
          <w:rFonts w:eastAsia="TT15Ct00" w:cs="TT15Ct00"/>
        </w:rPr>
        <w:t>month</w:t>
      </w:r>
      <w:r>
        <w:rPr>
          <w:rFonts w:eastAsia="TT15Ct00" w:cs="TT15Ct00"/>
        </w:rPr>
        <w:t>ly</w:t>
      </w:r>
      <w:r w:rsidRPr="001C2AF0">
        <w:rPr>
          <w:rFonts w:eastAsia="TT15Ct00" w:cs="TT15Ct00"/>
        </w:rPr>
        <w:t>/season</w:t>
      </w:r>
      <w:r>
        <w:rPr>
          <w:rFonts w:eastAsia="TT15Ct00" w:cs="TT15Ct00"/>
        </w:rPr>
        <w:t>al</w:t>
      </w:r>
      <w:r w:rsidR="000A73CF">
        <w:rPr>
          <w:rFonts w:eastAsia="TT15Ct00" w:cs="TT15Ct00"/>
        </w:rPr>
        <w:t>/diurnal</w:t>
      </w:r>
      <w:r>
        <w:rPr>
          <w:rFonts w:eastAsia="TT15Ct00" w:cs="TT15Ct00"/>
        </w:rPr>
        <w:t xml:space="preserve"> time periods</w:t>
      </w:r>
    </w:p>
    <w:p w14:paraId="59A53ECC" w14:textId="77777777" w:rsidR="000A73CF" w:rsidRPr="000A73CF" w:rsidRDefault="00AA33E5" w:rsidP="00817839">
      <w:pPr>
        <w:pStyle w:val="NoSpacing"/>
        <w:numPr>
          <w:ilvl w:val="2"/>
          <w:numId w:val="17"/>
        </w:numPr>
        <w:ind w:left="1440"/>
      </w:pPr>
      <w:r>
        <w:rPr>
          <w:rFonts w:eastAsia="TT15Ct00" w:cs="TT15Ct00"/>
        </w:rPr>
        <w:t>vertical structure</w:t>
      </w:r>
      <w:r w:rsidR="000A73CF">
        <w:rPr>
          <w:rFonts w:eastAsia="TT15Ct00" w:cs="TT15Ct00"/>
        </w:rPr>
        <w:t xml:space="preserve"> (</w:t>
      </w:r>
      <w:r w:rsidRPr="001C2AF0">
        <w:rPr>
          <w:rFonts w:eastAsia="TT15Ct00" w:cs="TT15Ct00"/>
        </w:rPr>
        <w:t>aloft, surface</w:t>
      </w:r>
      <w:r w:rsidR="000A73CF">
        <w:rPr>
          <w:rFonts w:eastAsia="TT15Ct00" w:cs="TT15Ct00"/>
        </w:rPr>
        <w:t>)</w:t>
      </w:r>
    </w:p>
    <w:p w14:paraId="0AC5F302" w14:textId="4CDE1CC0" w:rsidR="00AA33E5" w:rsidRDefault="00AA33E5" w:rsidP="00817839">
      <w:pPr>
        <w:pStyle w:val="NoSpacing"/>
        <w:numPr>
          <w:ilvl w:val="2"/>
          <w:numId w:val="17"/>
        </w:numPr>
        <w:ind w:left="1440"/>
      </w:pPr>
      <w:r w:rsidRPr="001C2AF0">
        <w:rPr>
          <w:rFonts w:eastAsia="TT15Ct00" w:cs="TT15Ct00"/>
        </w:rPr>
        <w:lastRenderedPageBreak/>
        <w:t>synoptic regime</w:t>
      </w:r>
      <w:r w:rsidR="00EB57B7">
        <w:rPr>
          <w:rFonts w:eastAsia="TT15Ct00" w:cs="TT15Ct00"/>
        </w:rPr>
        <w:t xml:space="preserve"> (where applicable)</w:t>
      </w:r>
    </w:p>
    <w:p w14:paraId="351CDADC" w14:textId="38504C76" w:rsidR="0069506A" w:rsidRDefault="0069506A" w:rsidP="00817839">
      <w:pPr>
        <w:pStyle w:val="NoSpacing"/>
        <w:numPr>
          <w:ilvl w:val="1"/>
          <w:numId w:val="13"/>
        </w:numPr>
        <w:ind w:left="900"/>
      </w:pPr>
      <w:r>
        <w:t xml:space="preserve">Comparison </w:t>
      </w:r>
      <w:r w:rsidR="00DD3C98">
        <w:t>to evaluations</w:t>
      </w:r>
      <w:r>
        <w:t xml:space="preserve"> completed </w:t>
      </w:r>
      <w:r w:rsidR="00DD3C98">
        <w:t>in</w:t>
      </w:r>
      <w:r>
        <w:t xml:space="preserve"> other </w:t>
      </w:r>
      <w:r w:rsidR="0035795D">
        <w:t xml:space="preserve">similar </w:t>
      </w:r>
      <w:r w:rsidR="00EB57B7">
        <w:t>studies</w:t>
      </w:r>
      <w:r>
        <w:t>.</w:t>
      </w:r>
    </w:p>
    <w:p w14:paraId="43432CA5" w14:textId="7B922F31" w:rsidR="00DD3C98" w:rsidRDefault="0069506A" w:rsidP="00817839">
      <w:pPr>
        <w:pStyle w:val="NoSpacing"/>
        <w:numPr>
          <w:ilvl w:val="1"/>
          <w:numId w:val="13"/>
        </w:numPr>
        <w:ind w:left="900"/>
      </w:pPr>
      <w:r>
        <w:t xml:space="preserve">Discussion of </w:t>
      </w:r>
      <w:r w:rsidR="00AA33E5">
        <w:t xml:space="preserve">the strengths and weaknesses </w:t>
      </w:r>
      <w:r w:rsidR="000A73CF">
        <w:t xml:space="preserve">indicated by </w:t>
      </w:r>
      <w:r w:rsidR="00AA33E5">
        <w:t>the</w:t>
      </w:r>
      <w:r w:rsidR="000A73CF">
        <w:t xml:space="preserve"> evaluation </w:t>
      </w:r>
      <w:r w:rsidR="00AA33E5">
        <w:t xml:space="preserve">for various </w:t>
      </w:r>
      <w:r w:rsidR="00DD3C98">
        <w:t>parameter</w:t>
      </w:r>
      <w:r w:rsidR="00AA33E5">
        <w:t>s</w:t>
      </w:r>
      <w:r w:rsidR="00DD3C98">
        <w:t xml:space="preserve">, time periods, </w:t>
      </w:r>
      <w:r w:rsidR="00DD3C98">
        <w:t>and l</w:t>
      </w:r>
      <w:r w:rsidR="00AA33E5">
        <w:t>ocations</w:t>
      </w:r>
      <w:r w:rsidR="00DD3C98">
        <w:t>.</w:t>
      </w:r>
      <w:r w:rsidR="002E1456">
        <w:t xml:space="preserve"> Any identified model limitations and uncertainties that may require further model development, improvement, and/or diagnostic evaluation should also be discussed.</w:t>
      </w:r>
      <w:r w:rsidR="00EB57B7">
        <w:t xml:space="preserve">  </w:t>
      </w:r>
    </w:p>
    <w:p w14:paraId="01C4F970" w14:textId="36E2F449" w:rsidR="00DF7C6F" w:rsidRDefault="00EB57B7" w:rsidP="00817839">
      <w:pPr>
        <w:pStyle w:val="NoSpacing"/>
        <w:numPr>
          <w:ilvl w:val="0"/>
          <w:numId w:val="13"/>
        </w:numPr>
        <w:ind w:left="360"/>
      </w:pPr>
      <w:r>
        <w:t xml:space="preserve">A </w:t>
      </w:r>
      <w:r w:rsidR="00EF2696">
        <w:t>stand-alone report</w:t>
      </w:r>
      <w:r w:rsidR="0062618D">
        <w:t xml:space="preserve"> that summarizes the</w:t>
      </w:r>
      <w:r w:rsidR="007329C6">
        <w:t xml:space="preserve"> </w:t>
      </w:r>
      <w:r w:rsidR="00D83C2F">
        <w:t>photochemical g</w:t>
      </w:r>
      <w:r>
        <w:t>rid modeling MPE</w:t>
      </w:r>
      <w:r w:rsidR="00EF2696">
        <w:t>, including</w:t>
      </w:r>
      <w:r w:rsidR="00DF7C6F">
        <w:t>:</w:t>
      </w:r>
    </w:p>
    <w:p w14:paraId="5F5C6818" w14:textId="1BB37AF8" w:rsidR="0062618D" w:rsidRDefault="003607BC" w:rsidP="00817839">
      <w:pPr>
        <w:pStyle w:val="NoSpacing"/>
        <w:numPr>
          <w:ilvl w:val="1"/>
          <w:numId w:val="13"/>
        </w:numPr>
        <w:ind w:left="900"/>
      </w:pPr>
      <w:r>
        <w:t>S</w:t>
      </w:r>
      <w:r w:rsidR="007329C6">
        <w:t>ummar</w:t>
      </w:r>
      <w:r>
        <w:t>y of</w:t>
      </w:r>
      <w:r w:rsidR="007329C6">
        <w:t xml:space="preserve"> </w:t>
      </w:r>
      <w:r w:rsidR="00B95EC6">
        <w:t>the</w:t>
      </w:r>
      <w:r w:rsidR="003757B6">
        <w:t xml:space="preserve"> model</w:t>
      </w:r>
      <w:r>
        <w:t xml:space="preserve"> input and configuration</w:t>
      </w:r>
      <w:r w:rsidR="00EF2696">
        <w:t>, and discussion of any changes applied to the methodology or configuration since the air quality modeling protocol</w:t>
      </w:r>
      <w:r w:rsidR="003757B6">
        <w:t xml:space="preserve">. </w:t>
      </w:r>
    </w:p>
    <w:p w14:paraId="51EEA39F" w14:textId="4B07EA25" w:rsidR="00EF2696" w:rsidRDefault="00EF2696" w:rsidP="00817839">
      <w:pPr>
        <w:pStyle w:val="NoSpacing"/>
        <w:numPr>
          <w:ilvl w:val="1"/>
          <w:numId w:val="13"/>
        </w:numPr>
        <w:ind w:left="900"/>
      </w:pPr>
      <w:r>
        <w:t>Summary of the observational networks to be used in the meteorological modeling evaluations.  This should include descriptions of monitor locations and density, the periods in which measurements were taken, and any general concerns about the sufficiency of the data for comparisons against model predictions.</w:t>
      </w:r>
    </w:p>
    <w:p w14:paraId="57914502" w14:textId="04B3B227" w:rsidR="003607BC" w:rsidRPr="006C1794" w:rsidRDefault="00DF7C6F" w:rsidP="00817839">
      <w:pPr>
        <w:pStyle w:val="NoSpacing"/>
        <w:numPr>
          <w:ilvl w:val="1"/>
          <w:numId w:val="13"/>
        </w:numPr>
        <w:ind w:left="900"/>
      </w:pPr>
      <w:r w:rsidRPr="006C1794">
        <w:t>S</w:t>
      </w:r>
      <w:r w:rsidR="003607BC" w:rsidRPr="006C1794">
        <w:t>tatistical analyses and graphical</w:t>
      </w:r>
      <w:r w:rsidRPr="006C1794">
        <w:t xml:space="preserve"> displays</w:t>
      </w:r>
      <w:r w:rsidR="003607BC" w:rsidRPr="006C1794">
        <w:t xml:space="preserve"> </w:t>
      </w:r>
      <w:r w:rsidR="002E1456" w:rsidRPr="006C1794">
        <w:t xml:space="preserve">focused on or </w:t>
      </w:r>
      <w:r w:rsidR="000A73CF" w:rsidRPr="006C1794">
        <w:rPr>
          <w:rFonts w:eastAsia="TT15Ct00" w:cs="TT15Ct00"/>
        </w:rPr>
        <w:t>partiti</w:t>
      </w:r>
      <w:r w:rsidR="00EB57B7" w:rsidRPr="006C1794">
        <w:rPr>
          <w:rFonts w:eastAsia="TT15Ct00" w:cs="TT15Ct00"/>
        </w:rPr>
        <w:t>oned into the following subsets</w:t>
      </w:r>
      <w:r w:rsidRPr="006C1794">
        <w:t>:</w:t>
      </w:r>
      <w:r w:rsidR="003607BC" w:rsidRPr="006C1794">
        <w:t xml:space="preserve"> </w:t>
      </w:r>
    </w:p>
    <w:p w14:paraId="0CFC8B7E" w14:textId="4CB6DB97" w:rsidR="0097247E" w:rsidRPr="006C1794" w:rsidRDefault="0097247E" w:rsidP="00817839">
      <w:pPr>
        <w:pStyle w:val="NoSpacing"/>
        <w:numPr>
          <w:ilvl w:val="2"/>
          <w:numId w:val="19"/>
        </w:numPr>
        <w:ind w:left="1440"/>
      </w:pPr>
      <w:r w:rsidRPr="006C1794">
        <w:t xml:space="preserve">Averaging Period: </w:t>
      </w:r>
      <w:r w:rsidR="00CD34F2" w:rsidRPr="006C1794">
        <w:t>P</w:t>
      </w:r>
      <w:r w:rsidR="000E11AB" w:rsidRPr="006C1794">
        <w:t xml:space="preserve">erformance statistics and graphical displays for </w:t>
      </w:r>
      <w:r w:rsidR="00A97003" w:rsidRPr="006C1794">
        <w:t xml:space="preserve">the </w:t>
      </w:r>
      <w:r w:rsidR="000415DC" w:rsidRPr="006C1794">
        <w:t>report</w:t>
      </w:r>
      <w:r w:rsidR="000E11AB" w:rsidRPr="006C1794">
        <w:t xml:space="preserve"> </w:t>
      </w:r>
      <w:r w:rsidR="00141FEB" w:rsidRPr="006C1794">
        <w:t>should be based on hourly averages and average</w:t>
      </w:r>
      <w:r w:rsidR="003757B6" w:rsidRPr="006C1794">
        <w:t>s</w:t>
      </w:r>
      <w:r w:rsidR="00141FEB" w:rsidRPr="006C1794">
        <w:t xml:space="preserve"> that</w:t>
      </w:r>
      <w:r w:rsidR="00A97003" w:rsidRPr="006C1794">
        <w:t xml:space="preserve"> correspond</w:t>
      </w:r>
      <w:r w:rsidR="00141FEB" w:rsidRPr="006C1794">
        <w:t xml:space="preserve"> with the form of the air quality standard or metric being evaluated</w:t>
      </w:r>
      <w:r w:rsidR="000E11AB" w:rsidRPr="006C1794">
        <w:t xml:space="preserve">. </w:t>
      </w:r>
      <w:r w:rsidR="00141FEB" w:rsidRPr="006C1794">
        <w:t xml:space="preserve">For example, ozone NAAQS should evaluate episodes during which the monitoring data or model </w:t>
      </w:r>
      <w:r w:rsidR="00CD34F2" w:rsidRPr="006C1794">
        <w:t xml:space="preserve">1-hour and </w:t>
      </w:r>
      <w:r w:rsidR="00141FEB" w:rsidRPr="006C1794">
        <w:t xml:space="preserve">8-hour average ozone concentration approaches or exceeds the NAAQS. </w:t>
      </w:r>
    </w:p>
    <w:p w14:paraId="3E9EC355" w14:textId="1E130354" w:rsidR="00CD34F2" w:rsidRPr="006C1794" w:rsidRDefault="0097247E" w:rsidP="00817839">
      <w:pPr>
        <w:pStyle w:val="NoSpacing"/>
        <w:numPr>
          <w:ilvl w:val="2"/>
          <w:numId w:val="19"/>
        </w:numPr>
        <w:ind w:left="1440"/>
      </w:pPr>
      <w:r w:rsidRPr="006C1794">
        <w:rPr>
          <w:rFonts w:cs="AdvOT863180fb"/>
        </w:rPr>
        <w:t xml:space="preserve">Episode Selection: </w:t>
      </w:r>
      <w:r w:rsidR="003757B6" w:rsidRPr="006C1794">
        <w:t>Episode s</w:t>
      </w:r>
      <w:r w:rsidR="006367F8" w:rsidRPr="006C1794">
        <w:t>election is a useful approach in screening the results and</w:t>
      </w:r>
      <w:r w:rsidR="003757B6" w:rsidRPr="006C1794">
        <w:t xml:space="preserve"> limit</w:t>
      </w:r>
      <w:r w:rsidR="006367F8" w:rsidRPr="006C1794">
        <w:t>ing</w:t>
      </w:r>
      <w:r w:rsidR="003757B6" w:rsidRPr="006C1794">
        <w:t xml:space="preserve"> the number of days for which </w:t>
      </w:r>
      <w:r w:rsidR="00B906BC" w:rsidRPr="006C1794">
        <w:t xml:space="preserve">detailed </w:t>
      </w:r>
      <w:r w:rsidR="00B70062" w:rsidRPr="006C1794">
        <w:t xml:space="preserve">analyses are </w:t>
      </w:r>
      <w:r w:rsidR="00B906BC" w:rsidRPr="006C1794">
        <w:t>needed</w:t>
      </w:r>
      <w:r w:rsidR="00B70062" w:rsidRPr="006C1794">
        <w:t xml:space="preserve"> for the report</w:t>
      </w:r>
      <w:r w:rsidR="006367F8" w:rsidRPr="006C1794">
        <w:t>. Episode selection also assists in</w:t>
      </w:r>
      <w:r w:rsidR="003757B6" w:rsidRPr="006C1794">
        <w:t xml:space="preserve"> provid</w:t>
      </w:r>
      <w:r w:rsidR="006367F8" w:rsidRPr="006C1794">
        <w:t>ing</w:t>
      </w:r>
      <w:r w:rsidR="003757B6" w:rsidRPr="006C1794">
        <w:t xml:space="preserve"> a more intensive evaluation on days most relevant to the NAAQS.</w:t>
      </w:r>
      <w:r w:rsidR="00CD34F2" w:rsidRPr="006C1794">
        <w:t xml:space="preserve"> The analyses should focus on:</w:t>
      </w:r>
    </w:p>
    <w:p w14:paraId="645BA910" w14:textId="3DBD3FC8" w:rsidR="00CD34F2" w:rsidRPr="006C1794" w:rsidRDefault="00CD34F2" w:rsidP="00817839">
      <w:pPr>
        <w:pStyle w:val="NoSpacing"/>
        <w:numPr>
          <w:ilvl w:val="3"/>
          <w:numId w:val="20"/>
        </w:numPr>
        <w:ind w:left="1980"/>
      </w:pPr>
      <w:r w:rsidRPr="006C1794">
        <w:t>High ambient and modeled concentrations.</w:t>
      </w:r>
      <w:r w:rsidR="003757B6" w:rsidRPr="006C1794">
        <w:t xml:space="preserve"> </w:t>
      </w:r>
      <w:r w:rsidRPr="006C1794">
        <w:t>For ozone, t</w:t>
      </w:r>
      <w:r w:rsidR="006C1794">
        <w:t xml:space="preserve">he analyses should consider model performance </w:t>
      </w:r>
      <w:r w:rsidR="00A97003" w:rsidRPr="006C1794">
        <w:t>on</w:t>
      </w:r>
      <w:r w:rsidR="001F0F75" w:rsidRPr="006C1794">
        <w:t xml:space="preserve"> </w:t>
      </w:r>
      <w:r w:rsidR="006C1794">
        <w:t xml:space="preserve">days where </w:t>
      </w:r>
      <w:r w:rsidR="00A97003" w:rsidRPr="006C1794">
        <w:t>ambient</w:t>
      </w:r>
      <w:r w:rsidR="001F0F75" w:rsidRPr="006C1794">
        <w:t xml:space="preserve"> </w:t>
      </w:r>
      <w:r w:rsidR="00A97003" w:rsidRPr="006C1794">
        <w:t>concentrations</w:t>
      </w:r>
      <w:r w:rsidR="006C1794">
        <w:rPr>
          <w:rFonts w:cs="AdvOT863180fb"/>
        </w:rPr>
        <w:t xml:space="preserve"> are greater than</w:t>
      </w:r>
      <w:r w:rsidR="00A97003" w:rsidRPr="006C1794">
        <w:rPr>
          <w:rFonts w:cs="AdvOT863180fb"/>
        </w:rPr>
        <w:t xml:space="preserve"> 60 ppb </w:t>
      </w:r>
      <w:r w:rsidR="00D6758A" w:rsidRPr="006C1794">
        <w:rPr>
          <w:rFonts w:cs="AdvOT863180fb"/>
        </w:rPr>
        <w:t xml:space="preserve">to </w:t>
      </w:r>
      <w:r w:rsidR="00A97003" w:rsidRPr="006C1794">
        <w:rPr>
          <w:rFonts w:cs="AdvOT863180fb"/>
        </w:rPr>
        <w:t xml:space="preserve">provide insight into how well the model replicates ozone pollution episodes, </w:t>
      </w:r>
      <w:r w:rsidR="00A97003" w:rsidRPr="006C1794">
        <w:rPr>
          <w:rFonts w:cs="AdvOT863180fb"/>
          <w:color w:val="000000"/>
        </w:rPr>
        <w:t>where modeling is intended for regulatory purposes</w:t>
      </w:r>
      <w:r w:rsidR="00A97003" w:rsidRPr="006C1794">
        <w:rPr>
          <w:rFonts w:cs="AdvOT863180fb"/>
        </w:rPr>
        <w:t>.</w:t>
      </w:r>
      <w:r w:rsidR="00D6758A" w:rsidRPr="006C1794">
        <w:t xml:space="preserve"> </w:t>
      </w:r>
    </w:p>
    <w:p w14:paraId="491EF20B" w14:textId="2044BF8A" w:rsidR="00E37EA7" w:rsidRPr="006C1794" w:rsidRDefault="00E37EA7" w:rsidP="00817839">
      <w:pPr>
        <w:pStyle w:val="NoSpacing"/>
        <w:numPr>
          <w:ilvl w:val="3"/>
          <w:numId w:val="20"/>
        </w:numPr>
        <w:ind w:left="1980"/>
      </w:pPr>
      <w:r w:rsidRPr="006C1794">
        <w:t>Low ambient and modeled concentration for PM</w:t>
      </w:r>
      <w:r w:rsidRPr="006C1794">
        <w:rPr>
          <w:vertAlign w:val="subscript"/>
        </w:rPr>
        <w:t>2.5</w:t>
      </w:r>
      <w:r w:rsidRPr="006C1794">
        <w:t>.</w:t>
      </w:r>
      <w:r w:rsidR="006C1794">
        <w:t xml:space="preserve"> </w:t>
      </w:r>
      <w:r w:rsidR="00EA6889" w:rsidRPr="006C1794">
        <w:t>Analyses screened for low concentrations of PM</w:t>
      </w:r>
      <w:r w:rsidR="00EA6889" w:rsidRPr="006C1794">
        <w:rPr>
          <w:vertAlign w:val="subscript"/>
        </w:rPr>
        <w:t>2.5</w:t>
      </w:r>
      <w:r w:rsidR="00EA6889" w:rsidRPr="006C1794">
        <w:t xml:space="preserve"> assist in evaluating the model for visibility and deposition </w:t>
      </w:r>
    </w:p>
    <w:p w14:paraId="5E1228DC" w14:textId="64115A56" w:rsidR="00CD34F2" w:rsidRPr="006C1794" w:rsidRDefault="00CD34F2" w:rsidP="00817839">
      <w:pPr>
        <w:pStyle w:val="NoSpacing"/>
        <w:numPr>
          <w:ilvl w:val="3"/>
          <w:numId w:val="20"/>
        </w:numPr>
        <w:ind w:left="1980"/>
      </w:pPr>
      <w:r w:rsidRPr="006C1794">
        <w:t>D</w:t>
      </w:r>
      <w:r w:rsidR="006818A0" w:rsidRPr="006C1794">
        <w:t>ays</w:t>
      </w:r>
      <w:r w:rsidR="00A97003" w:rsidRPr="006C1794">
        <w:t xml:space="preserve"> </w:t>
      </w:r>
      <w:r w:rsidRPr="006C1794">
        <w:t xml:space="preserve">not </w:t>
      </w:r>
      <w:r w:rsidR="00A97003" w:rsidRPr="006C1794">
        <w:t xml:space="preserve">associated with </w:t>
      </w:r>
      <w:r w:rsidR="00D6758A" w:rsidRPr="006C1794">
        <w:t>abnormal conditions</w:t>
      </w:r>
      <w:r w:rsidR="00A97003" w:rsidRPr="006C1794">
        <w:t>.</w:t>
      </w:r>
      <w:r w:rsidR="006818A0" w:rsidRPr="006C1794">
        <w:t xml:space="preserve"> </w:t>
      </w:r>
      <w:r w:rsidR="00A97003" w:rsidRPr="006C1794">
        <w:t>For instance, p</w:t>
      </w:r>
      <w:r w:rsidR="003757B6" w:rsidRPr="006C1794">
        <w:t>hotochemical</w:t>
      </w:r>
      <w:r w:rsidR="00B70062" w:rsidRPr="006C1794">
        <w:t xml:space="preserve"> grid</w:t>
      </w:r>
      <w:r w:rsidR="003757B6" w:rsidRPr="006C1794">
        <w:t xml:space="preserve"> models often perform poorly for unusual events such as stratospheric intrusions (SI), wildfires or dust storms. Therefore, it is important to determine the time periods influenced by </w:t>
      </w:r>
      <w:r w:rsidRPr="006C1794">
        <w:t>infrequent</w:t>
      </w:r>
      <w:r w:rsidR="003757B6" w:rsidRPr="006C1794">
        <w:t xml:space="preserve"> events and potentially exclude the days associated with these events from the </w:t>
      </w:r>
      <w:r w:rsidR="00B70062" w:rsidRPr="006C1794">
        <w:t xml:space="preserve">analyses </w:t>
      </w:r>
      <w:r w:rsidR="00A97003" w:rsidRPr="006C1794">
        <w:t>w</w:t>
      </w:r>
      <w:r w:rsidR="003757B6" w:rsidRPr="006C1794">
        <w:t xml:space="preserve">hen they can be reliably identified. </w:t>
      </w:r>
    </w:p>
    <w:p w14:paraId="4B6E77A3" w14:textId="55227EFA" w:rsidR="006367F8" w:rsidRPr="006C1794" w:rsidRDefault="00CD34F2" w:rsidP="00817839">
      <w:pPr>
        <w:pStyle w:val="NoSpacing"/>
        <w:numPr>
          <w:ilvl w:val="3"/>
          <w:numId w:val="20"/>
        </w:numPr>
        <w:ind w:left="1980"/>
      </w:pPr>
      <w:r w:rsidRPr="006C1794">
        <w:t>Days not influenced by certain m</w:t>
      </w:r>
      <w:r w:rsidR="003757B6" w:rsidRPr="006C1794">
        <w:t>eteorological conditions</w:t>
      </w:r>
      <w:r w:rsidRPr="006C1794">
        <w:t>. Meteorological conditions</w:t>
      </w:r>
      <w:r w:rsidR="003757B6" w:rsidRPr="006C1794">
        <w:t xml:space="preserve"> strongly influence photochemical reactions,</w:t>
      </w:r>
      <w:r w:rsidR="00EA6889" w:rsidRPr="006C1794">
        <w:t xml:space="preserve"> formation, and deposition of various pollutants. For instance,</w:t>
      </w:r>
      <w:r w:rsidR="003757B6" w:rsidRPr="006C1794">
        <w:t xml:space="preserve"> </w:t>
      </w:r>
      <w:r w:rsidR="006367F8" w:rsidRPr="006C1794">
        <w:t xml:space="preserve">the </w:t>
      </w:r>
      <w:r w:rsidR="003757B6" w:rsidRPr="006C1794">
        <w:t>formation of ozone is reduced on days with cloud cover or precipitation.</w:t>
      </w:r>
      <w:r w:rsidR="00E37EA7" w:rsidRPr="006C1794">
        <w:t xml:space="preserve"> </w:t>
      </w:r>
      <w:r w:rsidR="00EA6889" w:rsidRPr="006C1794">
        <w:t>Further, sulfate can be formed in cloud aqueous chemistry and aerosol nitrate formation may be greater on cool, humid days.</w:t>
      </w:r>
      <w:r w:rsidR="003757B6" w:rsidRPr="006C1794">
        <w:t xml:space="preserve"> Therefore, it may be useful to </w:t>
      </w:r>
      <w:r w:rsidR="00EA6889" w:rsidRPr="006C1794">
        <w:t xml:space="preserve">associate model performance by </w:t>
      </w:r>
      <w:r w:rsidR="003757B6" w:rsidRPr="006C1794">
        <w:t>days with and without cloud cover</w:t>
      </w:r>
      <w:r w:rsidR="00EA6889" w:rsidRPr="006C1794">
        <w:t>,</w:t>
      </w:r>
      <w:r w:rsidR="003757B6" w:rsidRPr="006C1794">
        <w:t xml:space="preserve"> unusually heavy precipitation episodes</w:t>
      </w:r>
      <w:r w:rsidR="00EA6889" w:rsidRPr="006C1794">
        <w:t>, or other meteorological conditions</w:t>
      </w:r>
      <w:r w:rsidR="003757B6" w:rsidRPr="006C1794">
        <w:t>.</w:t>
      </w:r>
    </w:p>
    <w:p w14:paraId="184ED03A" w14:textId="15FF0C00" w:rsidR="00B906BC" w:rsidRPr="006C1794" w:rsidRDefault="006367F8" w:rsidP="00817839">
      <w:pPr>
        <w:pStyle w:val="NoSpacing"/>
        <w:numPr>
          <w:ilvl w:val="3"/>
          <w:numId w:val="20"/>
        </w:numPr>
        <w:ind w:left="1980"/>
      </w:pPr>
      <w:r w:rsidRPr="006C1794">
        <w:t>Days without certain s</w:t>
      </w:r>
      <w:r w:rsidR="003757B6" w:rsidRPr="006C1794">
        <w:t>urface characteristics</w:t>
      </w:r>
      <w:r w:rsidRPr="006C1794">
        <w:t>. For instance</w:t>
      </w:r>
      <w:r w:rsidR="003757B6" w:rsidRPr="006C1794">
        <w:t>, snow cover and surface albedo, are critical input for simulating winter oxidant formation, including ozone, NO</w:t>
      </w:r>
      <w:r w:rsidR="003757B6" w:rsidRPr="006C1794">
        <w:rPr>
          <w:vertAlign w:val="subscript"/>
        </w:rPr>
        <w:t>2</w:t>
      </w:r>
      <w:r w:rsidR="003757B6" w:rsidRPr="006C1794">
        <w:t>, and nitric acid. Therefore, it may be useful to screen the model performance into days and seasons with and without snow cover.</w:t>
      </w:r>
      <w:r w:rsidR="00A97003" w:rsidRPr="006C1794">
        <w:t xml:space="preserve"> Identifying the days associated with these episodes assists in determining the</w:t>
      </w:r>
      <w:r w:rsidR="00B906BC" w:rsidRPr="006C1794">
        <w:t xml:space="preserve"> factors influencing the performance of the model.</w:t>
      </w:r>
    </w:p>
    <w:p w14:paraId="187E2DB9" w14:textId="3118385D" w:rsidR="00B906BC" w:rsidRDefault="00E37EA7" w:rsidP="00817839">
      <w:pPr>
        <w:pStyle w:val="NoSpacing"/>
        <w:numPr>
          <w:ilvl w:val="2"/>
          <w:numId w:val="19"/>
        </w:numPr>
        <w:ind w:left="1440"/>
      </w:pPr>
      <w:r w:rsidRPr="006C1794">
        <w:rPr>
          <w:rFonts w:cs="AdvOT863180fb"/>
        </w:rPr>
        <w:t xml:space="preserve">Evaluation of Model Performance at </w:t>
      </w:r>
      <w:r w:rsidR="00B906BC" w:rsidRPr="006C1794">
        <w:rPr>
          <w:rFonts w:cs="AdvOT863180fb"/>
        </w:rPr>
        <w:t>Monitoring Site</w:t>
      </w:r>
      <w:r w:rsidRPr="006C1794">
        <w:rPr>
          <w:rFonts w:cs="AdvOT863180fb"/>
        </w:rPr>
        <w:t>s</w:t>
      </w:r>
      <w:r w:rsidR="00B906BC" w:rsidRPr="006C1794">
        <w:rPr>
          <w:rFonts w:cs="AdvOT863180fb"/>
        </w:rPr>
        <w:t>:</w:t>
      </w:r>
      <w:r w:rsidR="00B906BC" w:rsidRPr="006C1794">
        <w:t xml:space="preserve"> </w:t>
      </w:r>
      <w:r w:rsidR="00EA6889" w:rsidRPr="006C1794">
        <w:t>Analyses of ozone and PM</w:t>
      </w:r>
      <w:r w:rsidR="00EA6889" w:rsidRPr="006C1794">
        <w:rPr>
          <w:vertAlign w:val="subscript"/>
        </w:rPr>
        <w:t>2.5</w:t>
      </w:r>
      <w:r w:rsidR="00EA6889" w:rsidRPr="006C1794">
        <w:t xml:space="preserve"> should be evaluated at individual monitoring sites at hourly averages and averages that correspond with the form of the air quality standard. </w:t>
      </w:r>
      <w:r w:rsidR="003607BC" w:rsidRPr="006C1794">
        <w:t>Analyses</w:t>
      </w:r>
      <w:r w:rsidR="003607BC">
        <w:t xml:space="preserve"> that average the model performance at multiple sites or multiple days are not very useful because biases can cancel out over multiple sites and </w:t>
      </w:r>
      <w:r w:rsidR="003607BC">
        <w:lastRenderedPageBreak/>
        <w:t xml:space="preserve">long-term averages will reflect the model performance on days that may not be relevant to the NAAQS. </w:t>
      </w:r>
      <w:r w:rsidR="00EA6889" w:rsidRPr="00B906BC">
        <w:rPr>
          <w:rFonts w:cs="AdvOT863180fb"/>
        </w:rPr>
        <w:t>Evaluations of performance over long time periods and large areas may</w:t>
      </w:r>
      <w:r w:rsidR="003607BC">
        <w:rPr>
          <w:rFonts w:cs="AdvOT863180fb"/>
        </w:rPr>
        <w:t xml:space="preserve"> also</w:t>
      </w:r>
      <w:r w:rsidR="00EA6889" w:rsidRPr="00B906BC">
        <w:rPr>
          <w:rFonts w:cs="AdvOT863180fb"/>
        </w:rPr>
        <w:t xml:space="preserve"> fail to distinguish speci</w:t>
      </w:r>
      <w:r w:rsidR="00EA6889" w:rsidRPr="00B906BC">
        <w:rPr>
          <w:rFonts w:cs="AdvOT863180fb+fb"/>
        </w:rPr>
        <w:t>fi</w:t>
      </w:r>
      <w:r w:rsidR="00EA6889" w:rsidRPr="00B906BC">
        <w:rPr>
          <w:rFonts w:cs="AdvOT863180fb"/>
        </w:rPr>
        <w:t>c episodes for which the model either performs especially well or especially poorly.</w:t>
      </w:r>
      <w:r w:rsidR="003607BC">
        <w:rPr>
          <w:rFonts w:cs="AdvOT863180fb"/>
        </w:rPr>
        <w:t xml:space="preserve"> </w:t>
      </w:r>
    </w:p>
    <w:p w14:paraId="338E487D" w14:textId="6AEEFA40" w:rsidR="004711A1" w:rsidRDefault="004711A1" w:rsidP="00817839">
      <w:pPr>
        <w:pStyle w:val="NoSpacing"/>
        <w:numPr>
          <w:ilvl w:val="1"/>
          <w:numId w:val="13"/>
        </w:numPr>
        <w:ind w:left="900"/>
      </w:pPr>
      <w:r>
        <w:t xml:space="preserve">Comparison to evaluations completed in other </w:t>
      </w:r>
      <w:r w:rsidR="0035795D">
        <w:t xml:space="preserve">similar </w:t>
      </w:r>
      <w:r w:rsidR="006C1794">
        <w:t>studies (where appropriate</w:t>
      </w:r>
      <w:r>
        <w:t>).</w:t>
      </w:r>
    </w:p>
    <w:p w14:paraId="499B3768" w14:textId="610981E8" w:rsidR="002E1456" w:rsidRDefault="004711A1" w:rsidP="00817839">
      <w:pPr>
        <w:pStyle w:val="NoSpacing"/>
        <w:numPr>
          <w:ilvl w:val="1"/>
          <w:numId w:val="13"/>
        </w:numPr>
        <w:ind w:left="900"/>
      </w:pPr>
      <w:r>
        <w:t>Discussion of the strengths and weaknesses indicated by the evaluation for various pollutants, time periods, and locations.  In particular, t</w:t>
      </w:r>
      <w:r w:rsidR="003607BC">
        <w:t xml:space="preserve">he </w:t>
      </w:r>
      <w:r>
        <w:t xml:space="preserve">evaluation </w:t>
      </w:r>
      <w:r w:rsidR="003607BC">
        <w:t xml:space="preserve">should outline whether the model platform can or cannot capture key processes to events or episodes important for the air quality application. For instance, the </w:t>
      </w:r>
      <w:r>
        <w:t>evaluation</w:t>
      </w:r>
      <w:r w:rsidR="003607BC">
        <w:t xml:space="preserve"> should </w:t>
      </w:r>
      <w:r w:rsidR="003607BC">
        <w:t>summarize the model performance for high ozone and PM</w:t>
      </w:r>
      <w:r w:rsidR="003607BC" w:rsidRPr="004711A1">
        <w:rPr>
          <w:vertAlign w:val="subscript"/>
        </w:rPr>
        <w:t>2.5</w:t>
      </w:r>
      <w:r w:rsidR="003607BC">
        <w:t xml:space="preserve"> events for supporting NAAQS demonstrations and visibility analyses. </w:t>
      </w:r>
      <w:r w:rsidR="002E1456">
        <w:t>Any identified model limitations and uncertainties that may require further model development, improvement, and/or diagnostic evaluation should also be discussed.</w:t>
      </w:r>
    </w:p>
    <w:p w14:paraId="3365DC6E" w14:textId="4FD69DE9" w:rsidR="000F3E50" w:rsidRDefault="006C1794" w:rsidP="00817839">
      <w:pPr>
        <w:pStyle w:val="NoSpacing"/>
        <w:numPr>
          <w:ilvl w:val="0"/>
          <w:numId w:val="13"/>
        </w:numPr>
        <w:ind w:left="360"/>
      </w:pPr>
      <w:r>
        <w:t xml:space="preserve">A </w:t>
      </w:r>
      <w:r w:rsidR="00EF2696">
        <w:t xml:space="preserve">stand-alone memo </w:t>
      </w:r>
      <w:r w:rsidR="002E1456">
        <w:t xml:space="preserve">that compiles and summarizes the results of </w:t>
      </w:r>
      <w:r w:rsidR="00723F59">
        <w:t xml:space="preserve">the individual </w:t>
      </w:r>
      <w:r w:rsidR="00741D2C">
        <w:t>model component assessments</w:t>
      </w:r>
      <w:r w:rsidR="002E1456">
        <w:t>. In particular, the memo should outline the overall strengths and weaknesses of the platform</w:t>
      </w:r>
      <w:r w:rsidR="000F3E50">
        <w:t xml:space="preserve"> and any limitations that may require further model development, improvement, and/or diagnostic evaluation. The memo should also recommend the air quality applications that the model can or cannot be used for and how the evaluations could be used as a weight of evidence for certain applications. This recommendation should be based on:</w:t>
      </w:r>
    </w:p>
    <w:p w14:paraId="03FF521C" w14:textId="77777777" w:rsidR="000F3E50" w:rsidRDefault="000F3E50" w:rsidP="00817839">
      <w:pPr>
        <w:pStyle w:val="NoSpacing"/>
        <w:numPr>
          <w:ilvl w:val="1"/>
          <w:numId w:val="13"/>
        </w:numPr>
        <w:ind w:left="990"/>
      </w:pPr>
      <w:r>
        <w:t>Comparisons to</w:t>
      </w:r>
      <w:r w:rsidR="00943FC1">
        <w:t xml:space="preserve"> similar modeling exercises to ensure that the</w:t>
      </w:r>
      <w:r w:rsidR="002B58BE">
        <w:t xml:space="preserve"> </w:t>
      </w:r>
      <w:r w:rsidR="00943FC1">
        <w:t>model performance approximates the quality of other applications. A recent literature review</w:t>
      </w:r>
      <w:r w:rsidR="002B58BE">
        <w:t xml:space="preserve"> </w:t>
      </w:r>
      <w:r w:rsidR="00943FC1">
        <w:t>(Simon et al, 2012) summarized photochemical model performance for applications published</w:t>
      </w:r>
      <w:r w:rsidR="002B58BE">
        <w:t xml:space="preserve"> </w:t>
      </w:r>
      <w:r w:rsidR="00943FC1">
        <w:t>in the peer-reviewed literature between 2006 and 2012. This review may serve as a resource</w:t>
      </w:r>
      <w:r w:rsidR="002B58BE">
        <w:t xml:space="preserve"> </w:t>
      </w:r>
      <w:r w:rsidR="00943FC1">
        <w:t>for identifying typical model performance for state of the science modeling applications.</w:t>
      </w:r>
    </w:p>
    <w:p w14:paraId="51CF1ACA" w14:textId="77777777" w:rsidR="000F3E50" w:rsidRPr="00741D2C" w:rsidRDefault="000F3E50" w:rsidP="00817839">
      <w:pPr>
        <w:pStyle w:val="NoSpacing"/>
        <w:numPr>
          <w:ilvl w:val="1"/>
          <w:numId w:val="13"/>
        </w:numPr>
        <w:ind w:left="990"/>
      </w:pPr>
      <w:r>
        <w:t>P</w:t>
      </w:r>
      <w:r w:rsidR="00C40F0E">
        <w:t>erformance statistics</w:t>
      </w:r>
      <w:r>
        <w:t>, which</w:t>
      </w:r>
      <w:r w:rsidR="00C40F0E">
        <w:t xml:space="preserve"> can provide information about the general model performance and </w:t>
      </w:r>
      <w:r w:rsidR="00C40F0E" w:rsidRPr="00741D2C">
        <w:t xml:space="preserve">identify model limitations and uncertainties that may require further model development, improvement, and/or </w:t>
      </w:r>
      <w:r w:rsidRPr="00741D2C">
        <w:t>diagnostic evaluation.</w:t>
      </w:r>
    </w:p>
    <w:p w14:paraId="2814E100" w14:textId="7427F03F" w:rsidR="0005080E" w:rsidRPr="00741D2C" w:rsidRDefault="000F3E50" w:rsidP="0005080E">
      <w:pPr>
        <w:pStyle w:val="NoSpacing"/>
        <w:numPr>
          <w:ilvl w:val="1"/>
          <w:numId w:val="13"/>
        </w:numPr>
        <w:ind w:left="990"/>
      </w:pPr>
      <w:r w:rsidRPr="00741D2C">
        <w:t>S</w:t>
      </w:r>
      <w:r w:rsidR="00C40F0E" w:rsidRPr="00741D2C">
        <w:t xml:space="preserve">pecific benchmarks should not be applied to the statistical analyses </w:t>
      </w:r>
      <w:r w:rsidR="00C40F0E" w:rsidRPr="00741D2C">
        <w:rPr>
          <w:rFonts w:eastAsia="TT15Ct00" w:cs="TT15Ct00"/>
        </w:rPr>
        <w:t>because of concerns about potentially misleading comparisons of model performance findings across different analyses with differing model configurations and masking performance issues that may only be made apparent through graphical displays.</w:t>
      </w:r>
      <w:r w:rsidR="00D6758A" w:rsidRPr="00741D2C">
        <w:rPr>
          <w:rFonts w:eastAsia="TT15Ct00" w:cs="TT15Ct00"/>
        </w:rPr>
        <w:t xml:space="preserve"> Historically, ozone and PM</w:t>
      </w:r>
      <w:r w:rsidR="00D6758A" w:rsidRPr="00741D2C">
        <w:rPr>
          <w:rFonts w:eastAsia="TT15Ct00" w:cs="TT15Ct00"/>
          <w:vertAlign w:val="subscript"/>
        </w:rPr>
        <w:t>2.5</w:t>
      </w:r>
      <w:r w:rsidR="00D6758A" w:rsidRPr="00741D2C">
        <w:rPr>
          <w:rFonts w:eastAsia="TT15Ct00" w:cs="TT15Ct00"/>
        </w:rPr>
        <w:t xml:space="preserve"> benchmarks have been commonly used in NEPA air quality analyses to determine whether the modeling platform</w:t>
      </w:r>
      <w:r w:rsidR="000842D3" w:rsidRPr="00741D2C">
        <w:rPr>
          <w:rFonts w:eastAsia="TT15Ct00" w:cs="TT15Ct00"/>
        </w:rPr>
        <w:t xml:space="preserve"> “passes” or</w:t>
      </w:r>
      <w:r w:rsidR="00D6758A" w:rsidRPr="00741D2C">
        <w:rPr>
          <w:rFonts w:eastAsia="TT15Ct00" w:cs="TT15Ct00"/>
        </w:rPr>
        <w:t xml:space="preserve"> is acceptable</w:t>
      </w:r>
      <w:r w:rsidR="000842D3" w:rsidRPr="00741D2C">
        <w:rPr>
          <w:rFonts w:eastAsia="TT15Ct00" w:cs="TT15Ct00"/>
        </w:rPr>
        <w:t xml:space="preserve"> </w:t>
      </w:r>
      <w:r w:rsidR="00D6758A" w:rsidRPr="00741D2C">
        <w:rPr>
          <w:rFonts w:eastAsia="TT15Ct00" w:cs="TT15Ct00"/>
        </w:rPr>
        <w:t xml:space="preserve">for predicting future air quality impacts. </w:t>
      </w:r>
    </w:p>
    <w:p w14:paraId="42FACCE8" w14:textId="73726346" w:rsidR="00741D2C" w:rsidRPr="00741D2C" w:rsidRDefault="00741D2C" w:rsidP="00741D2C">
      <w:pPr>
        <w:pStyle w:val="NoSpacing"/>
        <w:ind w:left="360"/>
      </w:pPr>
      <w:r w:rsidRPr="00741D2C">
        <w:rPr>
          <w:rFonts w:eastAsia="TT15Ct00" w:cs="TT15Ct00"/>
        </w:rPr>
        <w:t>This memo should be reviewed and approved by the 3SAQS Technical and Oversight Committees prior to releasing the modeling products for NEPA and air planning projects.</w:t>
      </w:r>
    </w:p>
    <w:p w14:paraId="3B38A895" w14:textId="77777777" w:rsidR="0005080E" w:rsidRDefault="0005080E" w:rsidP="0005080E">
      <w:pPr>
        <w:rPr>
          <w:b/>
        </w:rPr>
      </w:pPr>
    </w:p>
    <w:p w14:paraId="4F89581C" w14:textId="5AE63FDE" w:rsidR="00CF2C75" w:rsidRDefault="0005080E" w:rsidP="0005080E">
      <w:r>
        <w:rPr>
          <w:b/>
        </w:rPr>
        <w:t>REFERENCES</w:t>
      </w:r>
      <w:r w:rsidR="00CF2C75">
        <w:rPr>
          <w:b/>
        </w:rPr>
        <w:t>:</w:t>
      </w:r>
    </w:p>
    <w:p w14:paraId="63061ACA" w14:textId="77777777" w:rsidR="00CF2C75" w:rsidRDefault="00CF2C75" w:rsidP="00817839">
      <w:pPr>
        <w:pStyle w:val="NoSpacing"/>
        <w:numPr>
          <w:ilvl w:val="0"/>
          <w:numId w:val="14"/>
        </w:numPr>
      </w:pPr>
      <w:r>
        <w:t xml:space="preserve">DRAFT </w:t>
      </w:r>
      <w:r w:rsidRPr="008530DF">
        <w:t>Modeling Guidance for Demonstrating Attainment of Air Quality Goals for Ozone, PM2.5, and Regional Haze</w:t>
      </w:r>
      <w:r>
        <w:t xml:space="preserve"> [December 2014]</w:t>
      </w:r>
      <w:r w:rsidRPr="008530DF">
        <w:t xml:space="preserve">  </w:t>
      </w:r>
    </w:p>
    <w:p w14:paraId="7C3E9171" w14:textId="77777777" w:rsidR="00CF2C75" w:rsidRPr="008530DF" w:rsidRDefault="00C10FE1" w:rsidP="00CF2C75">
      <w:pPr>
        <w:pStyle w:val="NoSpacing"/>
        <w:ind w:left="720"/>
      </w:pPr>
      <w:hyperlink r:id="rId8" w:history="1">
        <w:r w:rsidR="00CF2C75" w:rsidRPr="008530DF">
          <w:rPr>
            <w:rStyle w:val="Hyperlink"/>
          </w:rPr>
          <w:t>http://www.epa.gov/ttn/scram/guidance/guide/Draft_O3-PM-RH_Modeling_Guidance-2014.pdf</w:t>
        </w:r>
      </w:hyperlink>
    </w:p>
    <w:p w14:paraId="675D6A1B" w14:textId="33924786" w:rsidR="002108DE" w:rsidRPr="00F411B4" w:rsidRDefault="00CF2C75" w:rsidP="002108DE">
      <w:pPr>
        <w:pStyle w:val="NoSpacing"/>
        <w:numPr>
          <w:ilvl w:val="0"/>
          <w:numId w:val="14"/>
        </w:numPr>
        <w:rPr>
          <w:rStyle w:val="Hyperlink"/>
          <w:rFonts w:cstheme="minorHAnsi"/>
          <w:color w:val="auto"/>
          <w:u w:val="none"/>
        </w:rPr>
      </w:pPr>
      <w:r w:rsidRPr="0038319A">
        <w:rPr>
          <w:rFonts w:cstheme="minorHAnsi"/>
        </w:rPr>
        <w:t xml:space="preserve">Compilations </w:t>
      </w:r>
      <w:r w:rsidRPr="0038319A">
        <w:rPr>
          <w:rFonts w:cstheme="minorHAnsi"/>
        </w:rPr>
        <w:t>and Interpretation of Photochemical Model Performance Statistics Published between 2006 and 2012</w:t>
      </w:r>
      <w:r>
        <w:rPr>
          <w:rFonts w:cstheme="minorHAnsi"/>
        </w:rPr>
        <w:t xml:space="preserve"> [</w:t>
      </w:r>
      <w:r w:rsidRPr="0038319A">
        <w:rPr>
          <w:rFonts w:cstheme="minorHAnsi"/>
        </w:rPr>
        <w:t>Simon, H., K.</w:t>
      </w:r>
      <w:r>
        <w:rPr>
          <w:rFonts w:cstheme="minorHAnsi"/>
        </w:rPr>
        <w:t xml:space="preserve"> Baker and S. Phillips (2012), </w:t>
      </w:r>
      <w:r w:rsidRPr="0038319A">
        <w:rPr>
          <w:rFonts w:cstheme="minorHAnsi"/>
          <w:i/>
        </w:rPr>
        <w:t>Atmos. Env.</w:t>
      </w:r>
      <w:r>
        <w:rPr>
          <w:rFonts w:cstheme="minorHAnsi"/>
        </w:rPr>
        <w:t xml:space="preserve">, </w:t>
      </w:r>
      <w:r w:rsidRPr="0038319A">
        <w:rPr>
          <w:rFonts w:cstheme="minorHAnsi"/>
        </w:rPr>
        <w:t>61</w:t>
      </w:r>
      <w:r>
        <w:rPr>
          <w:rFonts w:cstheme="minorHAnsi"/>
        </w:rPr>
        <w:t xml:space="preserve">, </w:t>
      </w:r>
      <w:r w:rsidRPr="0038319A">
        <w:rPr>
          <w:rFonts w:cstheme="minorHAnsi"/>
        </w:rPr>
        <w:t>124-139</w:t>
      </w:r>
      <w:r>
        <w:rPr>
          <w:rFonts w:cstheme="minorHAnsi"/>
        </w:rPr>
        <w:t xml:space="preserve">]  </w:t>
      </w:r>
      <w:hyperlink r:id="rId9" w:history="1">
        <w:r w:rsidRPr="00FC5A9D">
          <w:rPr>
            <w:rStyle w:val="Hyperlink"/>
            <w:rFonts w:cstheme="minorHAnsi"/>
          </w:rPr>
          <w:t>http://www.sciencedirect.com/science/article/pii/S135223101200684X</w:t>
        </w:r>
      </w:hyperlink>
    </w:p>
    <w:p w14:paraId="5F47EC30" w14:textId="653CCA32" w:rsidR="00F411B4" w:rsidRPr="00E328CF" w:rsidRDefault="00F411B4" w:rsidP="00E328CF">
      <w:pPr>
        <w:pStyle w:val="ListParagraph"/>
        <w:numPr>
          <w:ilvl w:val="0"/>
          <w:numId w:val="14"/>
        </w:numPr>
        <w:spacing w:after="0"/>
      </w:pPr>
      <w:r w:rsidRPr="00E328CF">
        <w:t xml:space="preserve">Comparison of Western U.S. Ozone using MOZART and GEOS-Chem for Boundary Conditions, ENVIRON, Western Regional Air Partnership, July 10, 2013 </w:t>
      </w:r>
    </w:p>
    <w:p w14:paraId="6825DB6B" w14:textId="72146074" w:rsidR="00F411B4" w:rsidRDefault="00E328CF" w:rsidP="00F411B4">
      <w:pPr>
        <w:pStyle w:val="NoSpacing"/>
        <w:ind w:left="720"/>
        <w:rPr>
          <w:rFonts w:cstheme="minorHAnsi"/>
        </w:rPr>
      </w:pPr>
      <w:hyperlink r:id="rId10" w:history="1">
        <w:r w:rsidRPr="003066EE">
          <w:rPr>
            <w:rStyle w:val="Hyperlink"/>
            <w:rFonts w:cstheme="minorHAnsi"/>
          </w:rPr>
          <w:t>http://www.wrapair2.org/pdf/Morris_MOZART-GEOS_WestJumpAQMS_Jul10_2013_Draft1.pdf</w:t>
        </w:r>
      </w:hyperlink>
    </w:p>
    <w:p w14:paraId="5E3CC3D2" w14:textId="77777777" w:rsidR="00E328CF" w:rsidRPr="006C1794" w:rsidRDefault="00E328CF" w:rsidP="00F411B4">
      <w:pPr>
        <w:pStyle w:val="NoSpacing"/>
        <w:ind w:left="720"/>
        <w:rPr>
          <w:rFonts w:cstheme="minorHAnsi"/>
        </w:rPr>
      </w:pPr>
    </w:p>
    <w:sectPr w:rsidR="00E328CF" w:rsidRPr="006C1794" w:rsidSect="00B530B4">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484E" w14:textId="77777777" w:rsidR="00C10FE1" w:rsidRDefault="00C10FE1" w:rsidP="005C756D">
      <w:pPr>
        <w:spacing w:after="0" w:line="240" w:lineRule="auto"/>
      </w:pPr>
      <w:r>
        <w:separator/>
      </w:r>
    </w:p>
  </w:endnote>
  <w:endnote w:type="continuationSeparator" w:id="0">
    <w:p w14:paraId="13AFC1C8" w14:textId="77777777" w:rsidR="00C10FE1" w:rsidRDefault="00C10FE1" w:rsidP="005C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5Ct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86547"/>
      <w:docPartObj>
        <w:docPartGallery w:val="Page Numbers (Bottom of Page)"/>
        <w:docPartUnique/>
      </w:docPartObj>
    </w:sdtPr>
    <w:sdtEndPr>
      <w:rPr>
        <w:noProof/>
      </w:rPr>
    </w:sdtEndPr>
    <w:sdtContent>
      <w:p w14:paraId="03B39806" w14:textId="77777777" w:rsidR="000A7216" w:rsidRDefault="000A7216">
        <w:pPr>
          <w:pStyle w:val="Footer"/>
          <w:jc w:val="right"/>
        </w:pPr>
        <w:r>
          <w:fldChar w:fldCharType="begin"/>
        </w:r>
        <w:r>
          <w:instrText xml:space="preserve"> PAGE   \* MERGEFORMAT </w:instrText>
        </w:r>
        <w:r>
          <w:fldChar w:fldCharType="separate"/>
        </w:r>
        <w:r w:rsidR="00E328CF">
          <w:rPr>
            <w:noProof/>
          </w:rPr>
          <w:t>11</w:t>
        </w:r>
        <w:r>
          <w:rPr>
            <w:noProof/>
          </w:rPr>
          <w:fldChar w:fldCharType="end"/>
        </w:r>
      </w:p>
    </w:sdtContent>
  </w:sdt>
  <w:p w14:paraId="1BDBDED8" w14:textId="4DC29F46" w:rsidR="000A7216" w:rsidRDefault="000A7216">
    <w:pPr>
      <w:pStyle w:val="Footer"/>
    </w:pPr>
    <w:r>
      <w:t xml:space="preserve">DRAFT </w:t>
    </w:r>
    <w:r w:rsidR="00E328CF">
      <w:t>[version 1: 04/02/2015]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9F54" w14:textId="77777777" w:rsidR="00C10FE1" w:rsidRDefault="00C10FE1" w:rsidP="005C756D">
      <w:pPr>
        <w:spacing w:after="0" w:line="240" w:lineRule="auto"/>
      </w:pPr>
      <w:r>
        <w:separator/>
      </w:r>
    </w:p>
  </w:footnote>
  <w:footnote w:type="continuationSeparator" w:id="0">
    <w:p w14:paraId="5910F068" w14:textId="77777777" w:rsidR="00C10FE1" w:rsidRDefault="00C10FE1" w:rsidP="005C756D">
      <w:pPr>
        <w:spacing w:after="0" w:line="240" w:lineRule="auto"/>
      </w:pPr>
      <w:r>
        <w:continuationSeparator/>
      </w:r>
    </w:p>
  </w:footnote>
  <w:footnote w:id="1">
    <w:p w14:paraId="71A943A0" w14:textId="56CBEFBF" w:rsidR="000052B0" w:rsidRDefault="000052B0">
      <w:pPr>
        <w:pStyle w:val="FootnoteText"/>
      </w:pPr>
      <w:r>
        <w:rPr>
          <w:rStyle w:val="FootnoteReference"/>
        </w:rPr>
        <w:footnoteRef/>
      </w:r>
      <w:r>
        <w:t xml:space="preserve"> </w:t>
      </w:r>
      <w:r w:rsidRPr="000052B0">
        <w:t>Where there are concerns about fine-scale gradients affecting performance, it may also be useful to plot model results for multiple grid cells close to the monitor (e.g., best 9-cell match).</w:t>
      </w:r>
    </w:p>
    <w:p w14:paraId="60B70E26" w14:textId="77777777" w:rsidR="008E37FB" w:rsidRDefault="008E37FB">
      <w:pPr>
        <w:pStyle w:val="FootnoteText"/>
      </w:pPr>
    </w:p>
  </w:footnote>
  <w:footnote w:id="2">
    <w:p w14:paraId="204A6526" w14:textId="609D03A9" w:rsidR="001F5F3E" w:rsidRDefault="001F5F3E">
      <w:pPr>
        <w:pStyle w:val="FootnoteText"/>
      </w:pPr>
      <w:r>
        <w:rPr>
          <w:rStyle w:val="FootnoteReference"/>
        </w:rPr>
        <w:footnoteRef/>
      </w:r>
      <w:r>
        <w:t xml:space="preserve"> </w:t>
      </w:r>
      <w:r w:rsidR="002B5779">
        <w:t>An assessment of total PM2.5 is only needed when</w:t>
      </w:r>
      <w:r w:rsidRPr="001F5F3E">
        <w:t xml:space="preserve"> monitors with spe</w:t>
      </w:r>
      <w:r w:rsidR="002B5779">
        <w:t>ciated data are not available. In those cases, t</w:t>
      </w:r>
      <w:r w:rsidRPr="001F5F3E">
        <w:t xml:space="preserve">otal PM2.5 should be evaluated at individual monitoring sites at </w:t>
      </w:r>
      <w:r w:rsidR="002B5779">
        <w:t>hourly and 24-hour averaging times</w:t>
      </w:r>
      <w:r w:rsidRPr="001F5F3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AF98" w14:textId="4A814C0C" w:rsidR="000A7216" w:rsidRDefault="00004185">
    <w:pPr>
      <w:pStyle w:val="Header"/>
      <w:jc w:val="right"/>
    </w:pPr>
    <w:r>
      <w:t xml:space="preserve">Draft: </w:t>
    </w:r>
    <w:r w:rsidR="00E328CF">
      <w:t>April 2,</w:t>
    </w:r>
    <w:r w:rsidR="00DA2E00">
      <w:t xml:space="preserve"> 2015</w:t>
    </w:r>
  </w:p>
  <w:p w14:paraId="3A2C485D" w14:textId="77777777" w:rsidR="000A7216" w:rsidRDefault="000A7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533"/>
    <w:multiLevelType w:val="hybridMultilevel"/>
    <w:tmpl w:val="24E25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6C45"/>
    <w:multiLevelType w:val="hybridMultilevel"/>
    <w:tmpl w:val="1A267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07FCB"/>
    <w:multiLevelType w:val="hybridMultilevel"/>
    <w:tmpl w:val="D4BC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27A"/>
    <w:multiLevelType w:val="hybridMultilevel"/>
    <w:tmpl w:val="746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263D0"/>
    <w:multiLevelType w:val="hybridMultilevel"/>
    <w:tmpl w:val="6D12CB5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C22083"/>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00C7"/>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B660B"/>
    <w:multiLevelType w:val="hybridMultilevel"/>
    <w:tmpl w:val="64F6945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0B40"/>
    <w:multiLevelType w:val="hybridMultilevel"/>
    <w:tmpl w:val="4F72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F37BD"/>
    <w:multiLevelType w:val="hybridMultilevel"/>
    <w:tmpl w:val="4F72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D7A72"/>
    <w:multiLevelType w:val="hybridMultilevel"/>
    <w:tmpl w:val="5D0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A2F4F"/>
    <w:multiLevelType w:val="hybridMultilevel"/>
    <w:tmpl w:val="36A00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209E1"/>
    <w:multiLevelType w:val="hybridMultilevel"/>
    <w:tmpl w:val="4F72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537E5"/>
    <w:multiLevelType w:val="hybridMultilevel"/>
    <w:tmpl w:val="F2843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6379F5"/>
    <w:multiLevelType w:val="hybridMultilevel"/>
    <w:tmpl w:val="003C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75956"/>
    <w:multiLevelType w:val="hybridMultilevel"/>
    <w:tmpl w:val="C3C6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8465A"/>
    <w:multiLevelType w:val="hybridMultilevel"/>
    <w:tmpl w:val="3CD65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83D58"/>
    <w:multiLevelType w:val="hybridMultilevel"/>
    <w:tmpl w:val="6736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15E05"/>
    <w:multiLevelType w:val="hybridMultilevel"/>
    <w:tmpl w:val="3F621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FD43B08">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9172A"/>
    <w:multiLevelType w:val="hybridMultilevel"/>
    <w:tmpl w:val="C3C6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B0A5F"/>
    <w:multiLevelType w:val="hybridMultilevel"/>
    <w:tmpl w:val="D4BC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40A5A"/>
    <w:multiLevelType w:val="hybridMultilevel"/>
    <w:tmpl w:val="8E20D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E3239"/>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F2680"/>
    <w:multiLevelType w:val="hybridMultilevel"/>
    <w:tmpl w:val="6F6AA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915D5"/>
    <w:multiLevelType w:val="hybridMultilevel"/>
    <w:tmpl w:val="24E25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663F6"/>
    <w:multiLevelType w:val="hybridMultilevel"/>
    <w:tmpl w:val="D95E6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44F47"/>
    <w:multiLevelType w:val="hybridMultilevel"/>
    <w:tmpl w:val="4F72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A12B7"/>
    <w:multiLevelType w:val="hybridMultilevel"/>
    <w:tmpl w:val="6CCC41B4"/>
    <w:lvl w:ilvl="0" w:tplc="C9D0D300">
      <w:start w:val="1"/>
      <w:numFmt w:val="decimal"/>
      <w:lvlText w:val="%1."/>
      <w:lvlJc w:val="left"/>
      <w:pPr>
        <w:ind w:left="1080" w:hanging="360"/>
      </w:pPr>
      <w:rPr>
        <w:rFonts w:asciiTheme="minorHAnsi" w:eastAsiaTheme="minorHAnsi" w:hAnsiTheme="minorHAnsi" w:cstheme="minorBidi"/>
      </w:rPr>
    </w:lvl>
    <w:lvl w:ilvl="1" w:tplc="0409000F">
      <w:start w:val="1"/>
      <w:numFmt w:val="decimal"/>
      <w:lvlText w:val="%2."/>
      <w:lvlJc w:val="left"/>
      <w:pPr>
        <w:ind w:left="1800" w:hanging="360"/>
      </w:pPr>
    </w:lvl>
    <w:lvl w:ilvl="2" w:tplc="AE405620">
      <w:numFmt w:val="bullet"/>
      <w:lvlText w:val="•"/>
      <w:lvlJc w:val="left"/>
      <w:pPr>
        <w:ind w:left="2700" w:hanging="360"/>
      </w:pPr>
      <w:rPr>
        <w:rFonts w:ascii="Calibri" w:eastAsia="TT15Ct00" w:hAnsi="Calibri"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A66EFA"/>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75A8B"/>
    <w:multiLevelType w:val="hybridMultilevel"/>
    <w:tmpl w:val="79E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B4A34"/>
    <w:multiLevelType w:val="hybridMultilevel"/>
    <w:tmpl w:val="4F72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C5BF0"/>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116DC"/>
    <w:multiLevelType w:val="hybridMultilevel"/>
    <w:tmpl w:val="5E685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86966"/>
    <w:multiLevelType w:val="hybridMultilevel"/>
    <w:tmpl w:val="64F6945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B7C54"/>
    <w:multiLevelType w:val="hybridMultilevel"/>
    <w:tmpl w:val="4F44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D63C7"/>
    <w:multiLevelType w:val="hybridMultilevel"/>
    <w:tmpl w:val="1A267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6286"/>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6651D"/>
    <w:multiLevelType w:val="hybridMultilevel"/>
    <w:tmpl w:val="F5E6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9"/>
  </w:num>
  <w:num w:numId="4">
    <w:abstractNumId w:val="12"/>
  </w:num>
  <w:num w:numId="5">
    <w:abstractNumId w:val="27"/>
  </w:num>
  <w:num w:numId="6">
    <w:abstractNumId w:val="33"/>
  </w:num>
  <w:num w:numId="7">
    <w:abstractNumId w:val="26"/>
  </w:num>
  <w:num w:numId="8">
    <w:abstractNumId w:val="29"/>
  </w:num>
  <w:num w:numId="9">
    <w:abstractNumId w:val="13"/>
  </w:num>
  <w:num w:numId="10">
    <w:abstractNumId w:val="7"/>
  </w:num>
  <w:num w:numId="11">
    <w:abstractNumId w:val="30"/>
  </w:num>
  <w:num w:numId="12">
    <w:abstractNumId w:val="3"/>
  </w:num>
  <w:num w:numId="13">
    <w:abstractNumId w:val="25"/>
  </w:num>
  <w:num w:numId="14">
    <w:abstractNumId w:val="17"/>
  </w:num>
  <w:num w:numId="15">
    <w:abstractNumId w:val="4"/>
  </w:num>
  <w:num w:numId="16">
    <w:abstractNumId w:val="16"/>
  </w:num>
  <w:num w:numId="17">
    <w:abstractNumId w:val="23"/>
  </w:num>
  <w:num w:numId="18">
    <w:abstractNumId w:val="21"/>
  </w:num>
  <w:num w:numId="19">
    <w:abstractNumId w:val="11"/>
  </w:num>
  <w:num w:numId="20">
    <w:abstractNumId w:val="18"/>
  </w:num>
  <w:num w:numId="21">
    <w:abstractNumId w:val="20"/>
  </w:num>
  <w:num w:numId="22">
    <w:abstractNumId w:val="35"/>
  </w:num>
  <w:num w:numId="23">
    <w:abstractNumId w:val="2"/>
  </w:num>
  <w:num w:numId="24">
    <w:abstractNumId w:val="1"/>
  </w:num>
  <w:num w:numId="25">
    <w:abstractNumId w:val="31"/>
  </w:num>
  <w:num w:numId="26">
    <w:abstractNumId w:val="15"/>
  </w:num>
  <w:num w:numId="27">
    <w:abstractNumId w:val="36"/>
  </w:num>
  <w:num w:numId="28">
    <w:abstractNumId w:val="37"/>
  </w:num>
  <w:num w:numId="29">
    <w:abstractNumId w:val="19"/>
  </w:num>
  <w:num w:numId="30">
    <w:abstractNumId w:val="34"/>
  </w:num>
  <w:num w:numId="31">
    <w:abstractNumId w:val="22"/>
  </w:num>
  <w:num w:numId="32">
    <w:abstractNumId w:val="28"/>
  </w:num>
  <w:num w:numId="33">
    <w:abstractNumId w:val="5"/>
  </w:num>
  <w:num w:numId="34">
    <w:abstractNumId w:val="0"/>
  </w:num>
  <w:num w:numId="35">
    <w:abstractNumId w:val="6"/>
  </w:num>
  <w:num w:numId="36">
    <w:abstractNumId w:val="24"/>
  </w:num>
  <w:num w:numId="37">
    <w:abstractNumId w:val="14"/>
  </w:num>
  <w:num w:numId="3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F7"/>
    <w:rsid w:val="00004185"/>
    <w:rsid w:val="000052B0"/>
    <w:rsid w:val="000145BF"/>
    <w:rsid w:val="0002659B"/>
    <w:rsid w:val="00027FC0"/>
    <w:rsid w:val="0003562F"/>
    <w:rsid w:val="00035644"/>
    <w:rsid w:val="000415DC"/>
    <w:rsid w:val="00044737"/>
    <w:rsid w:val="0005080E"/>
    <w:rsid w:val="0005406D"/>
    <w:rsid w:val="00077C99"/>
    <w:rsid w:val="00083B20"/>
    <w:rsid w:val="000842D3"/>
    <w:rsid w:val="00097DA0"/>
    <w:rsid w:val="000A7216"/>
    <w:rsid w:val="000A73CF"/>
    <w:rsid w:val="000B207D"/>
    <w:rsid w:val="000B329C"/>
    <w:rsid w:val="000C574A"/>
    <w:rsid w:val="000C643B"/>
    <w:rsid w:val="000E11AB"/>
    <w:rsid w:val="000E20B8"/>
    <w:rsid w:val="000E41DB"/>
    <w:rsid w:val="000E4C47"/>
    <w:rsid w:val="000E69A3"/>
    <w:rsid w:val="000F040D"/>
    <w:rsid w:val="000F3E50"/>
    <w:rsid w:val="00113340"/>
    <w:rsid w:val="00114E5C"/>
    <w:rsid w:val="00141FEB"/>
    <w:rsid w:val="001447FF"/>
    <w:rsid w:val="00151BB7"/>
    <w:rsid w:val="00154D34"/>
    <w:rsid w:val="00155FB2"/>
    <w:rsid w:val="00160057"/>
    <w:rsid w:val="00160F66"/>
    <w:rsid w:val="00170950"/>
    <w:rsid w:val="00184303"/>
    <w:rsid w:val="001868E4"/>
    <w:rsid w:val="00193C5A"/>
    <w:rsid w:val="0019668F"/>
    <w:rsid w:val="001A7ED6"/>
    <w:rsid w:val="001C2AF0"/>
    <w:rsid w:val="001D0517"/>
    <w:rsid w:val="001D47B8"/>
    <w:rsid w:val="001E0C48"/>
    <w:rsid w:val="001F0F75"/>
    <w:rsid w:val="001F4B60"/>
    <w:rsid w:val="001F5F3E"/>
    <w:rsid w:val="0020144E"/>
    <w:rsid w:val="002108DE"/>
    <w:rsid w:val="00220BB3"/>
    <w:rsid w:val="0022677C"/>
    <w:rsid w:val="00244044"/>
    <w:rsid w:val="00253C2E"/>
    <w:rsid w:val="00261812"/>
    <w:rsid w:val="00270B33"/>
    <w:rsid w:val="00270ED8"/>
    <w:rsid w:val="002759E0"/>
    <w:rsid w:val="00276193"/>
    <w:rsid w:val="002804FE"/>
    <w:rsid w:val="00287475"/>
    <w:rsid w:val="0029360E"/>
    <w:rsid w:val="00295DF4"/>
    <w:rsid w:val="002A68D1"/>
    <w:rsid w:val="002B2034"/>
    <w:rsid w:val="002B2BF6"/>
    <w:rsid w:val="002B40FD"/>
    <w:rsid w:val="002B5779"/>
    <w:rsid w:val="002B58BE"/>
    <w:rsid w:val="002C09EE"/>
    <w:rsid w:val="002C1596"/>
    <w:rsid w:val="002D4060"/>
    <w:rsid w:val="002E0054"/>
    <w:rsid w:val="002E1456"/>
    <w:rsid w:val="002E3980"/>
    <w:rsid w:val="002F02E9"/>
    <w:rsid w:val="002F3BCC"/>
    <w:rsid w:val="002F44D7"/>
    <w:rsid w:val="00306B2C"/>
    <w:rsid w:val="00321D7A"/>
    <w:rsid w:val="00327AA8"/>
    <w:rsid w:val="00337627"/>
    <w:rsid w:val="0035795D"/>
    <w:rsid w:val="00360258"/>
    <w:rsid w:val="003607BC"/>
    <w:rsid w:val="00364256"/>
    <w:rsid w:val="003657FF"/>
    <w:rsid w:val="003757B6"/>
    <w:rsid w:val="00386C5F"/>
    <w:rsid w:val="00387CDB"/>
    <w:rsid w:val="003B41F0"/>
    <w:rsid w:val="003C112A"/>
    <w:rsid w:val="003C789F"/>
    <w:rsid w:val="003D30E2"/>
    <w:rsid w:val="003D379E"/>
    <w:rsid w:val="003D42F7"/>
    <w:rsid w:val="003E721F"/>
    <w:rsid w:val="003E7424"/>
    <w:rsid w:val="003E7E36"/>
    <w:rsid w:val="003F6D62"/>
    <w:rsid w:val="0041010D"/>
    <w:rsid w:val="00412FC8"/>
    <w:rsid w:val="00421FDE"/>
    <w:rsid w:val="0042462E"/>
    <w:rsid w:val="00424A8D"/>
    <w:rsid w:val="00430331"/>
    <w:rsid w:val="00440CFA"/>
    <w:rsid w:val="00442C80"/>
    <w:rsid w:val="00447B5D"/>
    <w:rsid w:val="00451320"/>
    <w:rsid w:val="00462250"/>
    <w:rsid w:val="004657F7"/>
    <w:rsid w:val="004711A1"/>
    <w:rsid w:val="004768E4"/>
    <w:rsid w:val="00483BF0"/>
    <w:rsid w:val="00496AAB"/>
    <w:rsid w:val="004A13EA"/>
    <w:rsid w:val="004A2069"/>
    <w:rsid w:val="004A38A2"/>
    <w:rsid w:val="004B5420"/>
    <w:rsid w:val="004B7F59"/>
    <w:rsid w:val="004C279C"/>
    <w:rsid w:val="004C6CFE"/>
    <w:rsid w:val="004D3060"/>
    <w:rsid w:val="004D7F54"/>
    <w:rsid w:val="004E3915"/>
    <w:rsid w:val="004F4712"/>
    <w:rsid w:val="00520FE9"/>
    <w:rsid w:val="00534570"/>
    <w:rsid w:val="00547E2F"/>
    <w:rsid w:val="00550855"/>
    <w:rsid w:val="005508B4"/>
    <w:rsid w:val="0055590C"/>
    <w:rsid w:val="005631A2"/>
    <w:rsid w:val="0058026A"/>
    <w:rsid w:val="00582072"/>
    <w:rsid w:val="005878C8"/>
    <w:rsid w:val="00597F82"/>
    <w:rsid w:val="005A668F"/>
    <w:rsid w:val="005A6E45"/>
    <w:rsid w:val="005B0659"/>
    <w:rsid w:val="005B06FD"/>
    <w:rsid w:val="005B1621"/>
    <w:rsid w:val="005B249F"/>
    <w:rsid w:val="005C0AA6"/>
    <w:rsid w:val="005C65A2"/>
    <w:rsid w:val="005C6841"/>
    <w:rsid w:val="005C756D"/>
    <w:rsid w:val="005D297E"/>
    <w:rsid w:val="006104B1"/>
    <w:rsid w:val="00616643"/>
    <w:rsid w:val="00617E7F"/>
    <w:rsid w:val="00620A7A"/>
    <w:rsid w:val="0062617B"/>
    <w:rsid w:val="0062618D"/>
    <w:rsid w:val="006367F8"/>
    <w:rsid w:val="00637A04"/>
    <w:rsid w:val="00652605"/>
    <w:rsid w:val="006553E2"/>
    <w:rsid w:val="00661431"/>
    <w:rsid w:val="00662291"/>
    <w:rsid w:val="0067675D"/>
    <w:rsid w:val="00677D75"/>
    <w:rsid w:val="00680F19"/>
    <w:rsid w:val="006818A0"/>
    <w:rsid w:val="00681E5F"/>
    <w:rsid w:val="006854F6"/>
    <w:rsid w:val="0069506A"/>
    <w:rsid w:val="006A1952"/>
    <w:rsid w:val="006A1F21"/>
    <w:rsid w:val="006A234E"/>
    <w:rsid w:val="006B0449"/>
    <w:rsid w:val="006B64D1"/>
    <w:rsid w:val="006C1794"/>
    <w:rsid w:val="006C3B2B"/>
    <w:rsid w:val="006D45A6"/>
    <w:rsid w:val="006D5539"/>
    <w:rsid w:val="006D5FD8"/>
    <w:rsid w:val="006D776B"/>
    <w:rsid w:val="00722823"/>
    <w:rsid w:val="00723F59"/>
    <w:rsid w:val="00726681"/>
    <w:rsid w:val="007329C6"/>
    <w:rsid w:val="00736173"/>
    <w:rsid w:val="00741D2C"/>
    <w:rsid w:val="00744AAB"/>
    <w:rsid w:val="007569CD"/>
    <w:rsid w:val="007608A6"/>
    <w:rsid w:val="00761E17"/>
    <w:rsid w:val="00764C2B"/>
    <w:rsid w:val="0077150A"/>
    <w:rsid w:val="007738B6"/>
    <w:rsid w:val="00774641"/>
    <w:rsid w:val="007832C0"/>
    <w:rsid w:val="00793666"/>
    <w:rsid w:val="007975C3"/>
    <w:rsid w:val="007A702B"/>
    <w:rsid w:val="007B468F"/>
    <w:rsid w:val="007B4EC4"/>
    <w:rsid w:val="007C09E6"/>
    <w:rsid w:val="007C0B20"/>
    <w:rsid w:val="007D1285"/>
    <w:rsid w:val="007D7ADF"/>
    <w:rsid w:val="007E0B61"/>
    <w:rsid w:val="007E30A5"/>
    <w:rsid w:val="007E759C"/>
    <w:rsid w:val="007F1B8D"/>
    <w:rsid w:val="007F6724"/>
    <w:rsid w:val="00817741"/>
    <w:rsid w:val="00817839"/>
    <w:rsid w:val="00821423"/>
    <w:rsid w:val="00830EE1"/>
    <w:rsid w:val="00831374"/>
    <w:rsid w:val="008530DF"/>
    <w:rsid w:val="00860EE5"/>
    <w:rsid w:val="00861FCB"/>
    <w:rsid w:val="00870C99"/>
    <w:rsid w:val="008734AF"/>
    <w:rsid w:val="008968B1"/>
    <w:rsid w:val="008A5680"/>
    <w:rsid w:val="008B140D"/>
    <w:rsid w:val="008B509C"/>
    <w:rsid w:val="008C3804"/>
    <w:rsid w:val="008D3357"/>
    <w:rsid w:val="008E16A3"/>
    <w:rsid w:val="008E37FB"/>
    <w:rsid w:val="009064B2"/>
    <w:rsid w:val="0091508B"/>
    <w:rsid w:val="00930027"/>
    <w:rsid w:val="00943FC1"/>
    <w:rsid w:val="00950CAE"/>
    <w:rsid w:val="0095373A"/>
    <w:rsid w:val="009554AA"/>
    <w:rsid w:val="0097247E"/>
    <w:rsid w:val="00991DB1"/>
    <w:rsid w:val="009931CC"/>
    <w:rsid w:val="009A0F92"/>
    <w:rsid w:val="009D415C"/>
    <w:rsid w:val="009F4BCC"/>
    <w:rsid w:val="00A23210"/>
    <w:rsid w:val="00A239C8"/>
    <w:rsid w:val="00A27EEA"/>
    <w:rsid w:val="00A27F6C"/>
    <w:rsid w:val="00A31F39"/>
    <w:rsid w:val="00A3228A"/>
    <w:rsid w:val="00A32BE0"/>
    <w:rsid w:val="00A35136"/>
    <w:rsid w:val="00A378E2"/>
    <w:rsid w:val="00A44940"/>
    <w:rsid w:val="00A736FE"/>
    <w:rsid w:val="00A86902"/>
    <w:rsid w:val="00A90975"/>
    <w:rsid w:val="00A97003"/>
    <w:rsid w:val="00AA33E5"/>
    <w:rsid w:val="00AB024E"/>
    <w:rsid w:val="00AC3D3C"/>
    <w:rsid w:val="00AD12C0"/>
    <w:rsid w:val="00AD4677"/>
    <w:rsid w:val="00B154E4"/>
    <w:rsid w:val="00B30B60"/>
    <w:rsid w:val="00B41551"/>
    <w:rsid w:val="00B530B4"/>
    <w:rsid w:val="00B631A5"/>
    <w:rsid w:val="00B70062"/>
    <w:rsid w:val="00B811BF"/>
    <w:rsid w:val="00B906BC"/>
    <w:rsid w:val="00B95EC6"/>
    <w:rsid w:val="00BB2646"/>
    <w:rsid w:val="00BC63E2"/>
    <w:rsid w:val="00BC7DBD"/>
    <w:rsid w:val="00BD1E7B"/>
    <w:rsid w:val="00BF1FA5"/>
    <w:rsid w:val="00C10FE1"/>
    <w:rsid w:val="00C11684"/>
    <w:rsid w:val="00C16438"/>
    <w:rsid w:val="00C1799C"/>
    <w:rsid w:val="00C22636"/>
    <w:rsid w:val="00C264C7"/>
    <w:rsid w:val="00C350F8"/>
    <w:rsid w:val="00C40F0E"/>
    <w:rsid w:val="00C563FF"/>
    <w:rsid w:val="00C72F5D"/>
    <w:rsid w:val="00C85126"/>
    <w:rsid w:val="00C864F8"/>
    <w:rsid w:val="00C93D20"/>
    <w:rsid w:val="00CB09A9"/>
    <w:rsid w:val="00CB5281"/>
    <w:rsid w:val="00CC697B"/>
    <w:rsid w:val="00CC733C"/>
    <w:rsid w:val="00CD34F2"/>
    <w:rsid w:val="00CF2C75"/>
    <w:rsid w:val="00CF4F8E"/>
    <w:rsid w:val="00D0239D"/>
    <w:rsid w:val="00D10914"/>
    <w:rsid w:val="00D227C6"/>
    <w:rsid w:val="00D3602A"/>
    <w:rsid w:val="00D3782E"/>
    <w:rsid w:val="00D449B0"/>
    <w:rsid w:val="00D6758A"/>
    <w:rsid w:val="00D67BB0"/>
    <w:rsid w:val="00D73871"/>
    <w:rsid w:val="00D74C4D"/>
    <w:rsid w:val="00D75127"/>
    <w:rsid w:val="00D827F3"/>
    <w:rsid w:val="00D83C2F"/>
    <w:rsid w:val="00DA2E00"/>
    <w:rsid w:val="00DC451A"/>
    <w:rsid w:val="00DC488C"/>
    <w:rsid w:val="00DC5298"/>
    <w:rsid w:val="00DD0B69"/>
    <w:rsid w:val="00DD3711"/>
    <w:rsid w:val="00DD3C98"/>
    <w:rsid w:val="00DF7C6F"/>
    <w:rsid w:val="00E019D8"/>
    <w:rsid w:val="00E11090"/>
    <w:rsid w:val="00E11261"/>
    <w:rsid w:val="00E21074"/>
    <w:rsid w:val="00E25D5D"/>
    <w:rsid w:val="00E316F1"/>
    <w:rsid w:val="00E328CF"/>
    <w:rsid w:val="00E37EA7"/>
    <w:rsid w:val="00E53999"/>
    <w:rsid w:val="00E54E01"/>
    <w:rsid w:val="00E62BB0"/>
    <w:rsid w:val="00E67326"/>
    <w:rsid w:val="00E72710"/>
    <w:rsid w:val="00E82D60"/>
    <w:rsid w:val="00E850FD"/>
    <w:rsid w:val="00EA6889"/>
    <w:rsid w:val="00EA75AE"/>
    <w:rsid w:val="00EB1A92"/>
    <w:rsid w:val="00EB2549"/>
    <w:rsid w:val="00EB57B7"/>
    <w:rsid w:val="00EB6B27"/>
    <w:rsid w:val="00EC2E8F"/>
    <w:rsid w:val="00EC379F"/>
    <w:rsid w:val="00ED14B3"/>
    <w:rsid w:val="00ED1CB0"/>
    <w:rsid w:val="00ED7251"/>
    <w:rsid w:val="00EE01C9"/>
    <w:rsid w:val="00EE1EC3"/>
    <w:rsid w:val="00EE65D5"/>
    <w:rsid w:val="00EE792D"/>
    <w:rsid w:val="00EF2696"/>
    <w:rsid w:val="00F005A2"/>
    <w:rsid w:val="00F04F44"/>
    <w:rsid w:val="00F05754"/>
    <w:rsid w:val="00F061C3"/>
    <w:rsid w:val="00F11AAC"/>
    <w:rsid w:val="00F20418"/>
    <w:rsid w:val="00F237FE"/>
    <w:rsid w:val="00F32F56"/>
    <w:rsid w:val="00F33335"/>
    <w:rsid w:val="00F34E77"/>
    <w:rsid w:val="00F36ADB"/>
    <w:rsid w:val="00F411B4"/>
    <w:rsid w:val="00F42697"/>
    <w:rsid w:val="00F53D49"/>
    <w:rsid w:val="00F5652B"/>
    <w:rsid w:val="00F666A9"/>
    <w:rsid w:val="00F753BB"/>
    <w:rsid w:val="00F8398B"/>
    <w:rsid w:val="00F91B2A"/>
    <w:rsid w:val="00FA0952"/>
    <w:rsid w:val="00FA3ED2"/>
    <w:rsid w:val="00FB01E7"/>
    <w:rsid w:val="00FB7457"/>
    <w:rsid w:val="00FC7106"/>
    <w:rsid w:val="00FD26B0"/>
    <w:rsid w:val="00F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21CD"/>
  <w15:chartTrackingRefBased/>
  <w15:docId w15:val="{999412C9-BADB-44BA-A6A2-9D9CA89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57F7"/>
    <w:pPr>
      <w:spacing w:after="0" w:line="240" w:lineRule="auto"/>
    </w:pPr>
  </w:style>
  <w:style w:type="character" w:styleId="Hyperlink">
    <w:name w:val="Hyperlink"/>
    <w:basedOn w:val="DefaultParagraphFont"/>
    <w:uiPriority w:val="99"/>
    <w:unhideWhenUsed/>
    <w:rsid w:val="00EC379F"/>
    <w:rPr>
      <w:color w:val="0563C1"/>
      <w:u w:val="single"/>
    </w:rPr>
  </w:style>
  <w:style w:type="paragraph" w:styleId="ListParagraph">
    <w:name w:val="List Paragraph"/>
    <w:basedOn w:val="Normal"/>
    <w:uiPriority w:val="34"/>
    <w:qFormat/>
    <w:rsid w:val="00A27F6C"/>
    <w:pPr>
      <w:ind w:left="720"/>
      <w:contextualSpacing/>
    </w:pPr>
  </w:style>
  <w:style w:type="paragraph" w:styleId="Header">
    <w:name w:val="header"/>
    <w:basedOn w:val="Normal"/>
    <w:link w:val="HeaderChar"/>
    <w:uiPriority w:val="99"/>
    <w:unhideWhenUsed/>
    <w:rsid w:val="005C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6D"/>
  </w:style>
  <w:style w:type="paragraph" w:styleId="Footer">
    <w:name w:val="footer"/>
    <w:basedOn w:val="Normal"/>
    <w:link w:val="FooterChar"/>
    <w:uiPriority w:val="99"/>
    <w:unhideWhenUsed/>
    <w:rsid w:val="005C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6D"/>
  </w:style>
  <w:style w:type="paragraph" w:styleId="FootnoteText">
    <w:name w:val="footnote text"/>
    <w:basedOn w:val="Normal"/>
    <w:link w:val="FootnoteTextChar"/>
    <w:uiPriority w:val="99"/>
    <w:semiHidden/>
    <w:unhideWhenUsed/>
    <w:rsid w:val="00F20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18"/>
    <w:rPr>
      <w:sz w:val="20"/>
      <w:szCs w:val="20"/>
    </w:rPr>
  </w:style>
  <w:style w:type="character" w:styleId="FootnoteReference">
    <w:name w:val="footnote reference"/>
    <w:basedOn w:val="DefaultParagraphFont"/>
    <w:uiPriority w:val="99"/>
    <w:semiHidden/>
    <w:unhideWhenUsed/>
    <w:rsid w:val="00F20418"/>
    <w:rPr>
      <w:vertAlign w:val="superscript"/>
    </w:rPr>
  </w:style>
  <w:style w:type="table" w:styleId="TableGrid">
    <w:name w:val="Table Grid"/>
    <w:basedOn w:val="TableNormal"/>
    <w:uiPriority w:val="59"/>
    <w:rsid w:val="0067675D"/>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portBodyText">
    <w:name w:val="Report Body Text"/>
    <w:basedOn w:val="Normal"/>
    <w:rsid w:val="0067675D"/>
    <w:pPr>
      <w:spacing w:after="120" w:line="240" w:lineRule="auto"/>
    </w:pPr>
    <w:rPr>
      <w:rFonts w:eastAsia="Times New Roman"/>
      <w:spacing w:val="-4"/>
      <w:lang w:eastAsia="ja-JP"/>
    </w:rPr>
  </w:style>
  <w:style w:type="paragraph" w:customStyle="1" w:styleId="ReportTableCaption">
    <w:name w:val="Report Table Caption"/>
    <w:basedOn w:val="Normal"/>
    <w:qFormat/>
    <w:rsid w:val="0067675D"/>
    <w:pPr>
      <w:tabs>
        <w:tab w:val="left" w:pos="900"/>
      </w:tabs>
      <w:spacing w:before="240" w:after="0" w:line="240" w:lineRule="exact"/>
    </w:pPr>
    <w:rPr>
      <w:rFonts w:ascii="Calibri" w:eastAsia="Times New Roman" w:hAnsi="Calibri" w:cs="Times New Roman"/>
      <w:b/>
      <w:sz w:val="24"/>
      <w:szCs w:val="24"/>
    </w:rPr>
  </w:style>
  <w:style w:type="character" w:customStyle="1" w:styleId="NoSpacingChar">
    <w:name w:val="No Spacing Char"/>
    <w:basedOn w:val="DefaultParagraphFont"/>
    <w:link w:val="NoSpacing"/>
    <w:uiPriority w:val="1"/>
    <w:locked/>
    <w:rsid w:val="0067675D"/>
  </w:style>
  <w:style w:type="paragraph" w:customStyle="1" w:styleId="ReferenceList">
    <w:name w:val="Reference List"/>
    <w:basedOn w:val="BodyText"/>
    <w:qFormat/>
    <w:rsid w:val="002E0054"/>
    <w:pPr>
      <w:spacing w:line="240" w:lineRule="auto"/>
      <w:ind w:left="720" w:hanging="720"/>
    </w:pPr>
    <w:rPr>
      <w:rFonts w:cs="Times New Roman"/>
      <w:snapToGrid w:val="0"/>
      <w:sz w:val="24"/>
      <w:szCs w:val="24"/>
    </w:rPr>
  </w:style>
  <w:style w:type="paragraph" w:styleId="BodyText">
    <w:name w:val="Body Text"/>
    <w:basedOn w:val="Normal"/>
    <w:link w:val="BodyTextChar"/>
    <w:uiPriority w:val="99"/>
    <w:semiHidden/>
    <w:unhideWhenUsed/>
    <w:rsid w:val="002E0054"/>
    <w:pPr>
      <w:spacing w:after="120"/>
    </w:pPr>
  </w:style>
  <w:style w:type="character" w:customStyle="1" w:styleId="BodyTextChar">
    <w:name w:val="Body Text Char"/>
    <w:basedOn w:val="DefaultParagraphFont"/>
    <w:link w:val="BodyText"/>
    <w:uiPriority w:val="99"/>
    <w:semiHidden/>
    <w:rsid w:val="002E0054"/>
  </w:style>
  <w:style w:type="character" w:styleId="FollowedHyperlink">
    <w:name w:val="FollowedHyperlink"/>
    <w:basedOn w:val="DefaultParagraphFont"/>
    <w:uiPriority w:val="99"/>
    <w:semiHidden/>
    <w:unhideWhenUsed/>
    <w:rsid w:val="002E0054"/>
    <w:rPr>
      <w:color w:val="954F72" w:themeColor="followedHyperlink"/>
      <w:u w:val="single"/>
    </w:rPr>
  </w:style>
  <w:style w:type="paragraph" w:styleId="BalloonText">
    <w:name w:val="Balloon Text"/>
    <w:basedOn w:val="Normal"/>
    <w:link w:val="BalloonTextChar"/>
    <w:uiPriority w:val="99"/>
    <w:semiHidden/>
    <w:unhideWhenUsed/>
    <w:rsid w:val="00FA0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52"/>
    <w:rPr>
      <w:rFonts w:ascii="Segoe UI" w:hAnsi="Segoe UI" w:cs="Segoe UI"/>
      <w:sz w:val="18"/>
      <w:szCs w:val="18"/>
    </w:rPr>
  </w:style>
  <w:style w:type="character" w:styleId="CommentReference">
    <w:name w:val="annotation reference"/>
    <w:basedOn w:val="DefaultParagraphFont"/>
    <w:uiPriority w:val="99"/>
    <w:semiHidden/>
    <w:unhideWhenUsed/>
    <w:rsid w:val="00FA0952"/>
    <w:rPr>
      <w:sz w:val="16"/>
      <w:szCs w:val="16"/>
    </w:rPr>
  </w:style>
  <w:style w:type="paragraph" w:styleId="CommentText">
    <w:name w:val="annotation text"/>
    <w:basedOn w:val="Normal"/>
    <w:link w:val="CommentTextChar"/>
    <w:uiPriority w:val="99"/>
    <w:semiHidden/>
    <w:unhideWhenUsed/>
    <w:rsid w:val="00FA0952"/>
    <w:pPr>
      <w:spacing w:line="240" w:lineRule="auto"/>
    </w:pPr>
    <w:rPr>
      <w:sz w:val="20"/>
      <w:szCs w:val="20"/>
    </w:rPr>
  </w:style>
  <w:style w:type="character" w:customStyle="1" w:styleId="CommentTextChar">
    <w:name w:val="Comment Text Char"/>
    <w:basedOn w:val="DefaultParagraphFont"/>
    <w:link w:val="CommentText"/>
    <w:uiPriority w:val="99"/>
    <w:semiHidden/>
    <w:rsid w:val="00FA0952"/>
    <w:rPr>
      <w:sz w:val="20"/>
      <w:szCs w:val="20"/>
    </w:rPr>
  </w:style>
  <w:style w:type="paragraph" w:styleId="CommentSubject">
    <w:name w:val="annotation subject"/>
    <w:basedOn w:val="CommentText"/>
    <w:next w:val="CommentText"/>
    <w:link w:val="CommentSubjectChar"/>
    <w:uiPriority w:val="99"/>
    <w:semiHidden/>
    <w:unhideWhenUsed/>
    <w:rsid w:val="00FA0952"/>
    <w:rPr>
      <w:b/>
      <w:bCs/>
    </w:rPr>
  </w:style>
  <w:style w:type="character" w:customStyle="1" w:styleId="CommentSubjectChar">
    <w:name w:val="Comment Subject Char"/>
    <w:basedOn w:val="CommentTextChar"/>
    <w:link w:val="CommentSubject"/>
    <w:uiPriority w:val="99"/>
    <w:semiHidden/>
    <w:rsid w:val="00FA0952"/>
    <w:rPr>
      <w:b/>
      <w:bCs/>
      <w:sz w:val="20"/>
      <w:szCs w:val="20"/>
    </w:rPr>
  </w:style>
  <w:style w:type="paragraph" w:customStyle="1" w:styleId="Default">
    <w:name w:val="Default"/>
    <w:rsid w:val="00E727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179">
      <w:bodyDiv w:val="1"/>
      <w:marLeft w:val="0"/>
      <w:marRight w:val="0"/>
      <w:marTop w:val="0"/>
      <w:marBottom w:val="0"/>
      <w:divBdr>
        <w:top w:val="none" w:sz="0" w:space="0" w:color="auto"/>
        <w:left w:val="none" w:sz="0" w:space="0" w:color="auto"/>
        <w:bottom w:val="none" w:sz="0" w:space="0" w:color="auto"/>
        <w:right w:val="none" w:sz="0" w:space="0" w:color="auto"/>
      </w:divBdr>
    </w:div>
    <w:div w:id="237137075">
      <w:bodyDiv w:val="1"/>
      <w:marLeft w:val="0"/>
      <w:marRight w:val="0"/>
      <w:marTop w:val="0"/>
      <w:marBottom w:val="0"/>
      <w:divBdr>
        <w:top w:val="none" w:sz="0" w:space="0" w:color="auto"/>
        <w:left w:val="none" w:sz="0" w:space="0" w:color="auto"/>
        <w:bottom w:val="none" w:sz="0" w:space="0" w:color="auto"/>
        <w:right w:val="none" w:sz="0" w:space="0" w:color="auto"/>
      </w:divBdr>
    </w:div>
    <w:div w:id="282687482">
      <w:bodyDiv w:val="1"/>
      <w:marLeft w:val="0"/>
      <w:marRight w:val="0"/>
      <w:marTop w:val="0"/>
      <w:marBottom w:val="0"/>
      <w:divBdr>
        <w:top w:val="none" w:sz="0" w:space="0" w:color="auto"/>
        <w:left w:val="none" w:sz="0" w:space="0" w:color="auto"/>
        <w:bottom w:val="none" w:sz="0" w:space="0" w:color="auto"/>
        <w:right w:val="none" w:sz="0" w:space="0" w:color="auto"/>
      </w:divBdr>
      <w:divsChild>
        <w:div w:id="1465077686">
          <w:marLeft w:val="734"/>
          <w:marRight w:val="0"/>
          <w:marTop w:val="120"/>
          <w:marBottom w:val="0"/>
          <w:divBdr>
            <w:top w:val="none" w:sz="0" w:space="0" w:color="auto"/>
            <w:left w:val="none" w:sz="0" w:space="0" w:color="auto"/>
            <w:bottom w:val="none" w:sz="0" w:space="0" w:color="auto"/>
            <w:right w:val="none" w:sz="0" w:space="0" w:color="auto"/>
          </w:divBdr>
        </w:div>
      </w:divsChild>
    </w:div>
    <w:div w:id="353314597">
      <w:bodyDiv w:val="1"/>
      <w:marLeft w:val="0"/>
      <w:marRight w:val="0"/>
      <w:marTop w:val="0"/>
      <w:marBottom w:val="0"/>
      <w:divBdr>
        <w:top w:val="none" w:sz="0" w:space="0" w:color="auto"/>
        <w:left w:val="none" w:sz="0" w:space="0" w:color="auto"/>
        <w:bottom w:val="none" w:sz="0" w:space="0" w:color="auto"/>
        <w:right w:val="none" w:sz="0" w:space="0" w:color="auto"/>
      </w:divBdr>
    </w:div>
    <w:div w:id="405885134">
      <w:bodyDiv w:val="1"/>
      <w:marLeft w:val="0"/>
      <w:marRight w:val="0"/>
      <w:marTop w:val="0"/>
      <w:marBottom w:val="0"/>
      <w:divBdr>
        <w:top w:val="none" w:sz="0" w:space="0" w:color="auto"/>
        <w:left w:val="none" w:sz="0" w:space="0" w:color="auto"/>
        <w:bottom w:val="none" w:sz="0" w:space="0" w:color="auto"/>
        <w:right w:val="none" w:sz="0" w:space="0" w:color="auto"/>
      </w:divBdr>
    </w:div>
    <w:div w:id="418597011">
      <w:bodyDiv w:val="1"/>
      <w:marLeft w:val="0"/>
      <w:marRight w:val="0"/>
      <w:marTop w:val="0"/>
      <w:marBottom w:val="0"/>
      <w:divBdr>
        <w:top w:val="none" w:sz="0" w:space="0" w:color="auto"/>
        <w:left w:val="none" w:sz="0" w:space="0" w:color="auto"/>
        <w:bottom w:val="none" w:sz="0" w:space="0" w:color="auto"/>
        <w:right w:val="none" w:sz="0" w:space="0" w:color="auto"/>
      </w:divBdr>
    </w:div>
    <w:div w:id="435758559">
      <w:bodyDiv w:val="1"/>
      <w:marLeft w:val="0"/>
      <w:marRight w:val="0"/>
      <w:marTop w:val="0"/>
      <w:marBottom w:val="0"/>
      <w:divBdr>
        <w:top w:val="none" w:sz="0" w:space="0" w:color="auto"/>
        <w:left w:val="none" w:sz="0" w:space="0" w:color="auto"/>
        <w:bottom w:val="none" w:sz="0" w:space="0" w:color="auto"/>
        <w:right w:val="none" w:sz="0" w:space="0" w:color="auto"/>
      </w:divBdr>
    </w:div>
    <w:div w:id="880826390">
      <w:bodyDiv w:val="1"/>
      <w:marLeft w:val="0"/>
      <w:marRight w:val="0"/>
      <w:marTop w:val="0"/>
      <w:marBottom w:val="0"/>
      <w:divBdr>
        <w:top w:val="none" w:sz="0" w:space="0" w:color="auto"/>
        <w:left w:val="none" w:sz="0" w:space="0" w:color="auto"/>
        <w:bottom w:val="none" w:sz="0" w:space="0" w:color="auto"/>
        <w:right w:val="none" w:sz="0" w:space="0" w:color="auto"/>
      </w:divBdr>
    </w:div>
    <w:div w:id="894926306">
      <w:bodyDiv w:val="1"/>
      <w:marLeft w:val="0"/>
      <w:marRight w:val="0"/>
      <w:marTop w:val="0"/>
      <w:marBottom w:val="0"/>
      <w:divBdr>
        <w:top w:val="none" w:sz="0" w:space="0" w:color="auto"/>
        <w:left w:val="none" w:sz="0" w:space="0" w:color="auto"/>
        <w:bottom w:val="none" w:sz="0" w:space="0" w:color="auto"/>
        <w:right w:val="none" w:sz="0" w:space="0" w:color="auto"/>
      </w:divBdr>
    </w:div>
    <w:div w:id="1164468674">
      <w:bodyDiv w:val="1"/>
      <w:marLeft w:val="0"/>
      <w:marRight w:val="0"/>
      <w:marTop w:val="0"/>
      <w:marBottom w:val="0"/>
      <w:divBdr>
        <w:top w:val="none" w:sz="0" w:space="0" w:color="auto"/>
        <w:left w:val="none" w:sz="0" w:space="0" w:color="auto"/>
        <w:bottom w:val="none" w:sz="0" w:space="0" w:color="auto"/>
        <w:right w:val="none" w:sz="0" w:space="0" w:color="auto"/>
      </w:divBdr>
    </w:div>
    <w:div w:id="1182013530">
      <w:bodyDiv w:val="1"/>
      <w:marLeft w:val="0"/>
      <w:marRight w:val="0"/>
      <w:marTop w:val="0"/>
      <w:marBottom w:val="0"/>
      <w:divBdr>
        <w:top w:val="none" w:sz="0" w:space="0" w:color="auto"/>
        <w:left w:val="none" w:sz="0" w:space="0" w:color="auto"/>
        <w:bottom w:val="none" w:sz="0" w:space="0" w:color="auto"/>
        <w:right w:val="none" w:sz="0" w:space="0" w:color="auto"/>
      </w:divBdr>
    </w:div>
    <w:div w:id="1194998062">
      <w:bodyDiv w:val="1"/>
      <w:marLeft w:val="0"/>
      <w:marRight w:val="0"/>
      <w:marTop w:val="0"/>
      <w:marBottom w:val="0"/>
      <w:divBdr>
        <w:top w:val="none" w:sz="0" w:space="0" w:color="auto"/>
        <w:left w:val="none" w:sz="0" w:space="0" w:color="auto"/>
        <w:bottom w:val="none" w:sz="0" w:space="0" w:color="auto"/>
        <w:right w:val="none" w:sz="0" w:space="0" w:color="auto"/>
      </w:divBdr>
    </w:div>
    <w:div w:id="1468667377">
      <w:bodyDiv w:val="1"/>
      <w:marLeft w:val="0"/>
      <w:marRight w:val="0"/>
      <w:marTop w:val="0"/>
      <w:marBottom w:val="0"/>
      <w:divBdr>
        <w:top w:val="none" w:sz="0" w:space="0" w:color="auto"/>
        <w:left w:val="none" w:sz="0" w:space="0" w:color="auto"/>
        <w:bottom w:val="none" w:sz="0" w:space="0" w:color="auto"/>
        <w:right w:val="none" w:sz="0" w:space="0" w:color="auto"/>
      </w:divBdr>
    </w:div>
    <w:div w:id="1705206771">
      <w:bodyDiv w:val="1"/>
      <w:marLeft w:val="0"/>
      <w:marRight w:val="0"/>
      <w:marTop w:val="0"/>
      <w:marBottom w:val="0"/>
      <w:divBdr>
        <w:top w:val="none" w:sz="0" w:space="0" w:color="auto"/>
        <w:left w:val="none" w:sz="0" w:space="0" w:color="auto"/>
        <w:bottom w:val="none" w:sz="0" w:space="0" w:color="auto"/>
        <w:right w:val="none" w:sz="0" w:space="0" w:color="auto"/>
      </w:divBdr>
    </w:div>
    <w:div w:id="1766728715">
      <w:bodyDiv w:val="1"/>
      <w:marLeft w:val="0"/>
      <w:marRight w:val="0"/>
      <w:marTop w:val="0"/>
      <w:marBottom w:val="0"/>
      <w:divBdr>
        <w:top w:val="none" w:sz="0" w:space="0" w:color="auto"/>
        <w:left w:val="none" w:sz="0" w:space="0" w:color="auto"/>
        <w:bottom w:val="none" w:sz="0" w:space="0" w:color="auto"/>
        <w:right w:val="none" w:sz="0" w:space="0" w:color="auto"/>
      </w:divBdr>
    </w:div>
    <w:div w:id="21386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tn/scram/guidance/guide/Draft_O3-PM-RH_Modeling_Guidance-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rapair2.org/pdf/Morris_MOZART-GEOS_WestJumpAQMS_Jul10_2013_Draft1.pdf" TargetMode="External"/><Relationship Id="rId4" Type="http://schemas.openxmlformats.org/officeDocument/2006/relationships/settings" Target="settings.xml"/><Relationship Id="rId9" Type="http://schemas.openxmlformats.org/officeDocument/2006/relationships/hyperlink" Target="http://www.sciencedirect.com/science/article/pii/S135223101200684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C333-2DFF-41A8-B9B0-A040BD25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Matichuk, Rebecca</dc:creator>
  <cp:keywords/>
  <dc:description/>
  <cp:lastModifiedBy>Matichuk, Rebecca</cp:lastModifiedBy>
  <cp:revision>2</cp:revision>
  <cp:lastPrinted>2015-03-26T00:08:00Z</cp:lastPrinted>
  <dcterms:created xsi:type="dcterms:W3CDTF">2015-04-02T21:52:00Z</dcterms:created>
  <dcterms:modified xsi:type="dcterms:W3CDTF">2015-04-02T21:52:00Z</dcterms:modified>
</cp:coreProperties>
</file>